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Theme="minorEastAsia" w:hAnsiTheme="minorEastAsia" w:eastAsiaTheme="minorEastAsia" w:cstheme="minorEastAsia"/>
          <w:color w:val="auto"/>
          <w:sz w:val="112"/>
          <w:szCs w:val="112"/>
        </w:rPr>
      </w:pPr>
      <w:r>
        <w:rPr>
          <w:rFonts w:hint="eastAsia" w:asciiTheme="minorEastAsia" w:hAnsiTheme="minorEastAsia" w:eastAsiaTheme="minorEastAsia" w:cstheme="minorEastAsia"/>
          <w:color w:val="auto"/>
          <w:sz w:val="112"/>
          <w:szCs w:val="112"/>
        </w:rPr>
      </w:r>
      <w:r/>
    </w:p>
    <w:p>
      <w:pPr>
        <w:jc w:val="center"/>
        <w:rPr>
          <w:rFonts w:hint="eastAsia" w:asciiTheme="minorEastAsia" w:hAnsiTheme="minorEastAsia" w:eastAsiaTheme="minorEastAsia" w:cstheme="minorEastAsia"/>
          <w:color w:val="auto"/>
          <w:spacing w:val="91"/>
          <w:sz w:val="112"/>
          <w:szCs w:val="112"/>
        </w:rPr>
      </w:pPr>
      <w:r>
        <w:rPr>
          <w:rFonts w:hint="eastAsia" w:asciiTheme="minorEastAsia" w:hAnsiTheme="minorEastAsia" w:eastAsiaTheme="minorEastAsia" w:cstheme="minorEastAsia"/>
          <w:color w:val="auto"/>
          <w:spacing w:val="91"/>
          <w:sz w:val="112"/>
          <w:szCs w:val="112"/>
        </w:rPr>
        <w:t xml:space="preserve">招标文件</w:t>
      </w:r>
      <w:r/>
    </w:p>
    <w:p>
      <w:pPr>
        <w:jc w:val="center"/>
        <w:rPr>
          <w:rFonts w:hint="eastAsia" w:asciiTheme="minorEastAsia" w:hAnsiTheme="minorEastAsia" w:eastAsiaTheme="minorEastAsia" w:cstheme="minorEastAsia"/>
          <w:color w:val="auto"/>
          <w:sz w:val="112"/>
          <w:szCs w:val="112"/>
        </w:rPr>
      </w:pPr>
      <w:r>
        <w:rPr>
          <w:rFonts w:hint="eastAsia" w:asciiTheme="minorEastAsia" w:hAnsiTheme="minorEastAsia" w:eastAsiaTheme="minorEastAsia" w:cstheme="minorEastAsia"/>
          <w:color w:val="auto"/>
          <w:sz w:val="112"/>
          <w:szCs w:val="112"/>
        </w:rPr>
      </w:r>
      <w:r/>
    </w:p>
    <w:p>
      <w:pPr>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pStyle w:val="856"/>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ind w:firstLine="900"/>
        <w:spacing w:line="360" w:lineRule="auto"/>
        <w:rPr>
          <w:rFonts w:hint="eastAsia" w:asciiTheme="minorEastAsia" w:hAnsiTheme="minorEastAsia" w:eastAsiaTheme="minorEastAsia" w:cstheme="minorEastAsia"/>
          <w:color w:val="auto"/>
          <w:sz w:val="30"/>
          <w:szCs w:val="30"/>
        </w:rPr>
      </w:pPr>
      <w:r>
        <w:rPr>
          <w:rFonts w:hint="eastAsia" w:asciiTheme="minorEastAsia" w:hAnsiTheme="minorEastAsia" w:eastAsiaTheme="minorEastAsia" w:cstheme="minorEastAsia"/>
          <w:color w:val="auto"/>
          <w:sz w:val="30"/>
          <w:szCs w:val="30"/>
        </w:rPr>
        <w:t xml:space="preserve">项目编号：JSZC-320300-ZCGL-G2025-0016    </w:t>
      </w:r>
      <w:r/>
    </w:p>
    <w:p>
      <w:pPr>
        <w:ind w:left="2395" w:hanging="1500"/>
        <w:spacing w:line="360" w:lineRule="auto"/>
        <w:rPr>
          <w:rFonts w:hint="eastAsia" w:asciiTheme="minorEastAsia" w:hAnsiTheme="minorEastAsia" w:eastAsiaTheme="minorEastAsia" w:cstheme="minorEastAsia"/>
          <w:color w:val="auto"/>
          <w:sz w:val="30"/>
          <w:szCs w:val="30"/>
        </w:rPr>
      </w:pPr>
      <w:r>
        <w:rPr>
          <w:rFonts w:hint="eastAsia" w:asciiTheme="minorEastAsia" w:hAnsiTheme="minorEastAsia" w:eastAsiaTheme="minorEastAsia" w:cstheme="minorEastAsia"/>
          <w:color w:val="auto"/>
          <w:sz w:val="30"/>
          <w:szCs w:val="30"/>
        </w:rPr>
        <w:t xml:space="preserve">项目名称：2025年城市安全建设-市管12座桥梁轻量化监测设备安装</w:t>
      </w:r>
      <w:r/>
    </w:p>
    <w:p>
      <w:pPr>
        <w:ind w:firstLine="900"/>
        <w:spacing w:line="360" w:lineRule="auto"/>
        <w:rPr>
          <w:rFonts w:hint="eastAsia" w:asciiTheme="minorEastAsia" w:hAnsiTheme="minorEastAsia" w:eastAsiaTheme="minorEastAsia" w:cstheme="minorEastAsia"/>
          <w:color w:val="auto"/>
          <w:sz w:val="30"/>
          <w:szCs w:val="30"/>
        </w:rPr>
      </w:pPr>
      <w:r>
        <w:rPr>
          <w:rFonts w:hint="eastAsia" w:asciiTheme="minorEastAsia" w:hAnsiTheme="minorEastAsia" w:eastAsiaTheme="minorEastAsia" w:cstheme="minorEastAsia"/>
          <w:color w:val="auto"/>
          <w:sz w:val="30"/>
          <w:szCs w:val="30"/>
        </w:rPr>
        <w:t xml:space="preserve">采 购 人：徐州市城市管理局</w:t>
      </w:r>
      <w:r/>
    </w:p>
    <w:p>
      <w:pPr>
        <w:ind w:firstLine="900"/>
        <w:spacing w:line="360" w:lineRule="auto"/>
        <w:rPr>
          <w:rFonts w:hint="eastAsia" w:asciiTheme="minorEastAsia" w:hAnsiTheme="minorEastAsia" w:eastAsiaTheme="minorEastAsia" w:cstheme="minorEastAsia"/>
          <w:color w:val="auto"/>
          <w:sz w:val="30"/>
          <w:szCs w:val="30"/>
        </w:rPr>
      </w:pPr>
      <w:r>
        <w:rPr>
          <w:rFonts w:hint="eastAsia" w:asciiTheme="minorEastAsia" w:hAnsiTheme="minorEastAsia" w:eastAsiaTheme="minorEastAsia" w:cstheme="minorEastAsia"/>
          <w:color w:val="auto"/>
          <w:sz w:val="30"/>
          <w:szCs w:val="30"/>
        </w:rPr>
      </w:r>
      <w:r/>
    </w:p>
    <w:p>
      <w:pPr>
        <w:ind w:firstLine="900"/>
        <w:spacing w:line="360" w:lineRule="auto"/>
        <w:rPr>
          <w:rFonts w:hint="eastAsia" w:asciiTheme="minorEastAsia" w:hAnsiTheme="minorEastAsia" w:eastAsiaTheme="minorEastAsia" w:cstheme="minorEastAsia"/>
          <w:color w:val="auto"/>
          <w:sz w:val="30"/>
          <w:szCs w:val="30"/>
        </w:rPr>
      </w:pPr>
      <w:r>
        <w:rPr>
          <w:rFonts w:hint="eastAsia" w:asciiTheme="minorEastAsia" w:hAnsiTheme="minorEastAsia" w:eastAsiaTheme="minorEastAsia" w:cstheme="minorEastAsia"/>
          <w:color w:val="auto"/>
          <w:sz w:val="30"/>
          <w:szCs w:val="30"/>
        </w:rPr>
      </w:r>
      <w:r/>
    </w:p>
    <w:p>
      <w:pPr>
        <w:spacing w:line="360" w:lineRule="auto"/>
        <w:rPr>
          <w:rFonts w:hint="eastAsia" w:asciiTheme="minorEastAsia" w:hAnsiTheme="minorEastAsia" w:eastAsiaTheme="minorEastAsia" w:cstheme="minorEastAsia"/>
          <w:color w:val="auto"/>
          <w:sz w:val="30"/>
          <w:szCs w:val="30"/>
        </w:rPr>
      </w:pPr>
      <w:r>
        <w:rPr>
          <w:rFonts w:hint="eastAsia" w:asciiTheme="minorEastAsia" w:hAnsiTheme="minorEastAsia" w:eastAsiaTheme="minorEastAsia" w:cstheme="minorEastAsia"/>
          <w:color w:val="auto"/>
          <w:sz w:val="30"/>
          <w:szCs w:val="30"/>
        </w:rPr>
      </w:r>
      <w:r/>
    </w:p>
    <w:p>
      <w:pPr>
        <w:spacing w:line="360" w:lineRule="auto"/>
        <w:rPr>
          <w:rFonts w:hint="eastAsia" w:asciiTheme="minorEastAsia" w:hAnsiTheme="minorEastAsia" w:eastAsiaTheme="minorEastAsia" w:cstheme="minorEastAsia"/>
          <w:color w:val="auto"/>
          <w:sz w:val="30"/>
          <w:szCs w:val="30"/>
        </w:rPr>
      </w:pPr>
      <w:r>
        <w:rPr>
          <w:rFonts w:hint="eastAsia" w:asciiTheme="minorEastAsia" w:hAnsiTheme="minorEastAsia" w:eastAsiaTheme="minorEastAsia" w:cstheme="minorEastAsia"/>
          <w:color w:val="auto"/>
          <w:sz w:val="30"/>
          <w:szCs w:val="30"/>
        </w:rPr>
      </w:r>
      <w:r/>
    </w:p>
    <w:p>
      <w:pPr>
        <w:jc w:val="center"/>
        <w:spacing w:line="360" w:lineRule="auto"/>
        <w:rPr>
          <w:rFonts w:hint="eastAsia" w:asciiTheme="minorEastAsia" w:hAnsiTheme="minorEastAsia" w:eastAsiaTheme="minorEastAsia" w:cstheme="minorEastAsia"/>
          <w:color w:val="auto"/>
          <w:sz w:val="30"/>
          <w:szCs w:val="30"/>
        </w:rPr>
      </w:pPr>
      <w:r>
        <w:rPr>
          <w:rFonts w:hint="eastAsia" w:asciiTheme="minorEastAsia" w:hAnsiTheme="minorEastAsia" w:eastAsiaTheme="minorEastAsia" w:cstheme="minorEastAsia"/>
          <w:color w:val="auto"/>
          <w:sz w:val="30"/>
          <w:szCs w:val="30"/>
        </w:rPr>
        <w:t xml:space="preserve">采购代理机构：江苏执策建设管理有限公司</w:t>
      </w:r>
      <w:r/>
    </w:p>
    <w:p>
      <w:pPr>
        <w:jc w:val="center"/>
        <w:spacing w:line="360" w:lineRule="auto"/>
        <w:rPr>
          <w:rFonts w:hint="eastAsia" w:asciiTheme="minorEastAsia" w:hAnsiTheme="minorEastAsia" w:eastAsiaTheme="minorEastAsia" w:cstheme="minorEastAsia"/>
          <w:color w:val="auto"/>
          <w:sz w:val="30"/>
          <w:szCs w:val="30"/>
        </w:rPr>
      </w:pPr>
      <w:r>
        <w:rPr>
          <w:rFonts w:hint="eastAsia" w:asciiTheme="minorEastAsia" w:hAnsiTheme="minorEastAsia" w:eastAsiaTheme="minorEastAsia" w:cstheme="minorEastAsia"/>
          <w:color w:val="auto"/>
          <w:sz w:val="30"/>
          <w:szCs w:val="30"/>
        </w:rPr>
        <w:t xml:space="preserve">二〇二五年</w:t>
      </w:r>
      <w:r>
        <w:rPr>
          <w:rFonts w:hint="eastAsia" w:asciiTheme="minorEastAsia" w:hAnsiTheme="minorEastAsia" w:eastAsiaTheme="minorEastAsia" w:cstheme="minorEastAsia"/>
          <w:color w:val="auto"/>
          <w:sz w:val="30"/>
          <w:szCs w:val="30"/>
          <w:lang w:val="en-US" w:eastAsia="zh-CN"/>
        </w:rPr>
        <w:t xml:space="preserve">十</w:t>
      </w:r>
      <w:r>
        <w:rPr>
          <w:rFonts w:hint="eastAsia" w:asciiTheme="minorEastAsia" w:hAnsiTheme="minorEastAsia" w:eastAsiaTheme="minorEastAsia" w:cstheme="minorEastAsia"/>
          <w:color w:val="auto"/>
          <w:sz w:val="30"/>
          <w:szCs w:val="30"/>
        </w:rPr>
        <w:t xml:space="preserve">月</w:t>
      </w:r>
      <w:r/>
    </w:p>
    <w:p>
      <w:pPr>
        <w:pStyle w:val="856"/>
        <w:rPr>
          <w:rFonts w:hint="eastAsia" w:asciiTheme="minorEastAsia" w:hAnsiTheme="minorEastAsia" w:eastAsiaTheme="minorEastAsia" w:cstheme="minorEastAsia"/>
          <w:color w:val="auto"/>
        </w:rPr>
        <w:sectPr>
          <w:footnotePr/>
          <w:endnotePr/>
          <w:type w:val="nextPage"/>
          <w:pgSz w:w="11906" w:h="16838" w:orient="portrait"/>
          <w:pgMar w:top="1134" w:right="1020" w:bottom="1134" w:left="1020" w:header="851" w:footer="992" w:gutter="0"/>
          <w:pgNumType w:start="1"/>
          <w:cols w:num="1" w:sep="0" w:space="720" w:equalWidth="1"/>
          <w:docGrid w:linePitch="360"/>
        </w:sectPr>
      </w:pPr>
      <w:r>
        <w:rPr>
          <w:rFonts w:hint="eastAsia" w:asciiTheme="minorEastAsia" w:hAnsiTheme="minorEastAsia" w:eastAsiaTheme="minorEastAsia" w:cstheme="minorEastAsia"/>
          <w:color w:val="auto"/>
        </w:rPr>
      </w:r>
      <w:r/>
    </w:p>
    <w:p>
      <w:pPr>
        <w:pStyle w:val="860"/>
        <w:jc w:val="center"/>
        <w:rPr>
          <w:rFonts w:hint="eastAsia" w:asciiTheme="minorEastAsia" w:hAnsiTheme="minorEastAsia" w:eastAsiaTheme="minorEastAsia" w:cstheme="minorEastAsia"/>
          <w:color w:val="auto"/>
          <w:sz w:val="44"/>
          <w:szCs w:val="44"/>
        </w:rPr>
      </w:pPr>
      <w:r>
        <w:rPr>
          <w:rFonts w:hint="eastAsia" w:asciiTheme="minorEastAsia" w:hAnsiTheme="minorEastAsia" w:eastAsiaTheme="minorEastAsia" w:cstheme="minorEastAsia"/>
          <w:color w:val="auto"/>
          <w:sz w:val="44"/>
          <w:szCs w:val="44"/>
        </w:rPr>
        <w:t xml:space="preserve">总目录</w:t>
      </w:r>
      <w:r/>
    </w:p>
    <w:p>
      <w:pP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pStyle w:val="860"/>
        <w:tabs>
          <w:tab w:val="right" w:pos="9638" w:leader="dot"/>
        </w:tabs>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fldChar w:fldCharType="begin"/>
      </w:r>
      <w:r>
        <w:rPr>
          <w:rFonts w:hint="eastAsia" w:asciiTheme="minorEastAsia" w:hAnsiTheme="minorEastAsia" w:eastAsiaTheme="minorEastAsia" w:cstheme="minorEastAsia"/>
          <w:color w:val="auto"/>
          <w:sz w:val="28"/>
          <w:szCs w:val="28"/>
        </w:rPr>
        <w:instrText xml:space="preserve">TOC \o "1-3" \h \u </w:instrText>
      </w:r>
      <w:r>
        <w:rPr>
          <w:rFonts w:hint="eastAsia" w:asciiTheme="minorEastAsia" w:hAnsiTheme="minorEastAsia" w:eastAsiaTheme="minorEastAsia" w:cstheme="minorEastAsia"/>
          <w:color w:val="auto"/>
          <w:sz w:val="28"/>
          <w:szCs w:val="28"/>
        </w:rPr>
        <w:fldChar w:fldCharType="separate"/>
      </w:r>
      <w:r>
        <w:rPr>
          <w:color w:val="auto"/>
        </w:rPr>
        <w:fldChar w:fldCharType="begin"/>
      </w:r>
      <w:r>
        <w:rPr>
          <w:color w:val="auto"/>
        </w:rPr>
        <w:instrText xml:space="preserve"> HYPERLINK \l "_Toc27244" </w:instrText>
      </w:r>
      <w:r>
        <w:rPr>
          <w:color w:val="auto"/>
        </w:rPr>
        <w:fldChar w:fldCharType="separate"/>
      </w:r>
      <w:r>
        <w:rPr>
          <w:rFonts w:hint="eastAsia" w:asciiTheme="minorEastAsia" w:hAnsiTheme="minorEastAsia" w:eastAsiaTheme="minorEastAsia" w:cstheme="minorEastAsia"/>
          <w:color w:val="auto"/>
          <w:sz w:val="28"/>
          <w:szCs w:val="28"/>
        </w:rPr>
        <w:t xml:space="preserve">第一章 投标邀请</w:t>
      </w:r>
      <w:r>
        <w:rPr>
          <w:rFonts w:hint="eastAsia" w:asciiTheme="minorEastAsia" w:hAnsiTheme="minorEastAsia" w:eastAsiaTheme="minorEastAsia" w:cstheme="minorEastAsia"/>
          <w:color w:val="auto"/>
          <w:sz w:val="28"/>
          <w:szCs w:val="28"/>
        </w:rPr>
        <w:tab/>
      </w:r>
      <w:r>
        <w:rPr>
          <w:rFonts w:hint="eastAsia" w:asciiTheme="minorEastAsia" w:hAnsiTheme="minorEastAsia" w:eastAsiaTheme="minorEastAsia" w:cstheme="minorEastAsia"/>
          <w:color w:val="auto"/>
          <w:sz w:val="28"/>
          <w:szCs w:val="28"/>
        </w:rPr>
        <w:fldChar w:fldCharType="begin"/>
      </w:r>
      <w:r>
        <w:rPr>
          <w:rFonts w:hint="eastAsia" w:asciiTheme="minorEastAsia" w:hAnsiTheme="minorEastAsia" w:eastAsiaTheme="minorEastAsia" w:cstheme="minorEastAsia"/>
          <w:color w:val="auto"/>
          <w:sz w:val="28"/>
          <w:szCs w:val="28"/>
        </w:rPr>
        <w:instrText xml:space="preserve"> PAGEREF _Toc27244 \h </w:instrText>
      </w:r>
      <w:r>
        <w:rPr>
          <w:rFonts w:hint="eastAsia" w:asciiTheme="minorEastAsia" w:hAnsiTheme="minorEastAsia" w:eastAsiaTheme="minorEastAsia" w:cstheme="minorEastAsia"/>
          <w:color w:val="auto"/>
          <w:sz w:val="28"/>
          <w:szCs w:val="28"/>
        </w:rPr>
        <w:fldChar w:fldCharType="separate"/>
      </w:r>
      <w:r>
        <w:rPr>
          <w:rFonts w:hint="eastAsia" w:asciiTheme="minorEastAsia" w:hAnsiTheme="minorEastAsia" w:eastAsiaTheme="minorEastAsia" w:cstheme="minorEastAsia"/>
          <w:color w:val="auto"/>
          <w:sz w:val="28"/>
          <w:szCs w:val="28"/>
        </w:rPr>
        <w:t xml:space="preserve">1</w:t>
      </w:r>
      <w:r>
        <w:rPr>
          <w:rFonts w:hint="eastAsia" w:asciiTheme="minorEastAsia" w:hAnsiTheme="minorEastAsia" w:eastAsiaTheme="minorEastAsia" w:cstheme="minorEastAsia"/>
          <w:color w:val="auto"/>
          <w:sz w:val="28"/>
          <w:szCs w:val="28"/>
        </w:rPr>
        <w:fldChar w:fldCharType="end"/>
      </w:r>
      <w:r>
        <w:rPr>
          <w:rFonts w:hint="eastAsia" w:asciiTheme="minorEastAsia" w:hAnsiTheme="minorEastAsia" w:eastAsiaTheme="minorEastAsia" w:cstheme="minorEastAsia"/>
          <w:color w:val="auto"/>
          <w:sz w:val="28"/>
          <w:szCs w:val="28"/>
        </w:rPr>
        <w:fldChar w:fldCharType="end"/>
      </w:r>
      <w:r/>
    </w:p>
    <w:p>
      <w:pPr>
        <w:pStyle w:val="860"/>
        <w:tabs>
          <w:tab w:val="right" w:pos="9638" w:leader="dot"/>
        </w:tabs>
        <w:rPr>
          <w:rFonts w:hint="eastAsia" w:asciiTheme="minorEastAsia" w:hAnsiTheme="minorEastAsia" w:eastAsiaTheme="minorEastAsia" w:cstheme="minorEastAsia"/>
          <w:color w:val="auto"/>
          <w:sz w:val="28"/>
          <w:szCs w:val="28"/>
        </w:rPr>
      </w:pPr>
      <w:r>
        <w:rPr>
          <w:color w:val="auto"/>
        </w:rPr>
        <w:fldChar w:fldCharType="begin"/>
      </w:r>
      <w:r>
        <w:rPr>
          <w:color w:val="auto"/>
        </w:rPr>
        <w:instrText xml:space="preserve"> HYPERLINK \l "_Toc5214" </w:instrText>
      </w:r>
      <w:r>
        <w:rPr>
          <w:color w:val="auto"/>
        </w:rPr>
        <w:fldChar w:fldCharType="separate"/>
      </w:r>
      <w:r>
        <w:rPr>
          <w:rFonts w:hint="eastAsia" w:asciiTheme="minorEastAsia" w:hAnsiTheme="minorEastAsia" w:eastAsiaTheme="minorEastAsia" w:cstheme="minorEastAsia"/>
          <w:color w:val="auto"/>
          <w:sz w:val="28"/>
          <w:szCs w:val="28"/>
        </w:rPr>
        <w:t xml:space="preserve">第二章 供应商须知</w:t>
      </w:r>
      <w:r>
        <w:rPr>
          <w:rFonts w:hint="eastAsia" w:asciiTheme="minorEastAsia" w:hAnsiTheme="minorEastAsia" w:eastAsiaTheme="minorEastAsia" w:cstheme="minorEastAsia"/>
          <w:color w:val="auto"/>
          <w:sz w:val="28"/>
          <w:szCs w:val="28"/>
        </w:rPr>
        <w:tab/>
      </w:r>
      <w:r>
        <w:rPr>
          <w:rFonts w:hint="eastAsia" w:asciiTheme="minorEastAsia" w:hAnsiTheme="minorEastAsia" w:eastAsiaTheme="minorEastAsia" w:cstheme="minorEastAsia"/>
          <w:color w:val="auto"/>
          <w:sz w:val="28"/>
          <w:szCs w:val="28"/>
        </w:rPr>
        <w:fldChar w:fldCharType="begin"/>
      </w:r>
      <w:r>
        <w:rPr>
          <w:rFonts w:hint="eastAsia" w:asciiTheme="minorEastAsia" w:hAnsiTheme="minorEastAsia" w:eastAsiaTheme="minorEastAsia" w:cstheme="minorEastAsia"/>
          <w:color w:val="auto"/>
          <w:sz w:val="28"/>
          <w:szCs w:val="28"/>
        </w:rPr>
        <w:instrText xml:space="preserve"> PAGEREF _Toc5214 \h </w:instrText>
      </w:r>
      <w:r>
        <w:rPr>
          <w:rFonts w:hint="eastAsia" w:asciiTheme="minorEastAsia" w:hAnsiTheme="minorEastAsia" w:eastAsiaTheme="minorEastAsia" w:cstheme="minorEastAsia"/>
          <w:color w:val="auto"/>
          <w:sz w:val="28"/>
          <w:szCs w:val="28"/>
        </w:rPr>
        <w:fldChar w:fldCharType="separate"/>
      </w:r>
      <w:r>
        <w:rPr>
          <w:rFonts w:hint="eastAsia" w:asciiTheme="minorEastAsia" w:hAnsiTheme="minorEastAsia" w:eastAsiaTheme="minorEastAsia" w:cstheme="minorEastAsia"/>
          <w:color w:val="auto"/>
          <w:sz w:val="28"/>
          <w:szCs w:val="28"/>
        </w:rPr>
        <w:t xml:space="preserve">3</w:t>
      </w:r>
      <w:r>
        <w:rPr>
          <w:rFonts w:hint="eastAsia" w:asciiTheme="minorEastAsia" w:hAnsiTheme="minorEastAsia" w:eastAsiaTheme="minorEastAsia" w:cstheme="minorEastAsia"/>
          <w:color w:val="auto"/>
          <w:sz w:val="28"/>
          <w:szCs w:val="28"/>
        </w:rPr>
        <w:fldChar w:fldCharType="end"/>
      </w:r>
      <w:r>
        <w:rPr>
          <w:rFonts w:hint="eastAsia" w:asciiTheme="minorEastAsia" w:hAnsiTheme="minorEastAsia" w:eastAsiaTheme="minorEastAsia" w:cstheme="minorEastAsia"/>
          <w:color w:val="auto"/>
          <w:sz w:val="28"/>
          <w:szCs w:val="28"/>
        </w:rPr>
        <w:fldChar w:fldCharType="end"/>
      </w:r>
      <w:r/>
    </w:p>
    <w:p>
      <w:pPr>
        <w:pStyle w:val="860"/>
        <w:tabs>
          <w:tab w:val="right" w:pos="9638" w:leader="dot"/>
        </w:tabs>
        <w:rPr>
          <w:rFonts w:hint="eastAsia" w:asciiTheme="minorEastAsia" w:hAnsiTheme="minorEastAsia" w:eastAsiaTheme="minorEastAsia" w:cstheme="minorEastAsia"/>
          <w:color w:val="auto"/>
          <w:sz w:val="28"/>
          <w:szCs w:val="28"/>
        </w:rPr>
      </w:pPr>
      <w:r>
        <w:rPr>
          <w:color w:val="auto"/>
        </w:rPr>
        <w:fldChar w:fldCharType="begin"/>
      </w:r>
      <w:r>
        <w:rPr>
          <w:color w:val="auto"/>
        </w:rPr>
        <w:instrText xml:space="preserve"> HYPERLINK \l "_Toc18297" </w:instrText>
      </w:r>
      <w:r>
        <w:rPr>
          <w:color w:val="auto"/>
        </w:rPr>
        <w:fldChar w:fldCharType="separate"/>
      </w:r>
      <w:r>
        <w:rPr>
          <w:rFonts w:hint="eastAsia" w:asciiTheme="minorEastAsia" w:hAnsiTheme="minorEastAsia" w:eastAsiaTheme="minorEastAsia" w:cstheme="minorEastAsia"/>
          <w:color w:val="auto"/>
          <w:sz w:val="28"/>
          <w:szCs w:val="28"/>
        </w:rPr>
        <w:t xml:space="preserve">第三章 投标资料表</w:t>
      </w:r>
      <w:r>
        <w:rPr>
          <w:rFonts w:hint="eastAsia" w:asciiTheme="minorEastAsia" w:hAnsiTheme="minorEastAsia" w:eastAsiaTheme="minorEastAsia" w:cstheme="minorEastAsia"/>
          <w:color w:val="auto"/>
          <w:sz w:val="28"/>
          <w:szCs w:val="28"/>
        </w:rPr>
        <w:tab/>
      </w:r>
      <w:r>
        <w:rPr>
          <w:rFonts w:hint="eastAsia" w:asciiTheme="minorEastAsia" w:hAnsiTheme="minorEastAsia" w:eastAsiaTheme="minorEastAsia" w:cstheme="minorEastAsia"/>
          <w:color w:val="auto"/>
          <w:sz w:val="28"/>
          <w:szCs w:val="28"/>
        </w:rPr>
        <w:fldChar w:fldCharType="begin"/>
      </w:r>
      <w:r>
        <w:rPr>
          <w:rFonts w:hint="eastAsia" w:asciiTheme="minorEastAsia" w:hAnsiTheme="minorEastAsia" w:eastAsiaTheme="minorEastAsia" w:cstheme="minorEastAsia"/>
          <w:color w:val="auto"/>
          <w:sz w:val="28"/>
          <w:szCs w:val="28"/>
        </w:rPr>
        <w:instrText xml:space="preserve"> PAGEREF _Toc18297 \h </w:instrText>
      </w:r>
      <w:r>
        <w:rPr>
          <w:rFonts w:hint="eastAsia" w:asciiTheme="minorEastAsia" w:hAnsiTheme="minorEastAsia" w:eastAsiaTheme="minorEastAsia" w:cstheme="minorEastAsia"/>
          <w:color w:val="auto"/>
          <w:sz w:val="28"/>
          <w:szCs w:val="28"/>
        </w:rPr>
        <w:fldChar w:fldCharType="separate"/>
      </w:r>
      <w:r>
        <w:rPr>
          <w:rFonts w:hint="eastAsia" w:asciiTheme="minorEastAsia" w:hAnsiTheme="minorEastAsia" w:eastAsiaTheme="minorEastAsia" w:cstheme="minorEastAsia"/>
          <w:color w:val="auto"/>
          <w:sz w:val="28"/>
          <w:szCs w:val="28"/>
        </w:rPr>
        <w:t xml:space="preserve">13</w:t>
      </w:r>
      <w:r>
        <w:rPr>
          <w:rFonts w:hint="eastAsia" w:asciiTheme="minorEastAsia" w:hAnsiTheme="minorEastAsia" w:eastAsiaTheme="minorEastAsia" w:cstheme="minorEastAsia"/>
          <w:color w:val="auto"/>
          <w:sz w:val="28"/>
          <w:szCs w:val="28"/>
        </w:rPr>
        <w:fldChar w:fldCharType="end"/>
      </w:r>
      <w:r>
        <w:rPr>
          <w:rFonts w:hint="eastAsia" w:asciiTheme="minorEastAsia" w:hAnsiTheme="minorEastAsia" w:eastAsiaTheme="minorEastAsia" w:cstheme="minorEastAsia"/>
          <w:color w:val="auto"/>
          <w:sz w:val="28"/>
          <w:szCs w:val="28"/>
        </w:rPr>
        <w:fldChar w:fldCharType="end"/>
      </w:r>
      <w:r/>
    </w:p>
    <w:p>
      <w:pPr>
        <w:pStyle w:val="860"/>
        <w:tabs>
          <w:tab w:val="right" w:pos="9638" w:leader="dot"/>
        </w:tabs>
        <w:rPr>
          <w:rFonts w:hint="eastAsia" w:asciiTheme="minorEastAsia" w:hAnsiTheme="minorEastAsia" w:eastAsiaTheme="minorEastAsia" w:cstheme="minorEastAsia"/>
          <w:color w:val="auto"/>
          <w:sz w:val="28"/>
          <w:szCs w:val="28"/>
        </w:rPr>
      </w:pPr>
      <w:r>
        <w:rPr>
          <w:color w:val="auto"/>
        </w:rPr>
        <w:fldChar w:fldCharType="begin"/>
      </w:r>
      <w:r>
        <w:rPr>
          <w:color w:val="auto"/>
        </w:rPr>
        <w:instrText xml:space="preserve"> HYPERLINK \l "_Toc17353" </w:instrText>
      </w:r>
      <w:r>
        <w:rPr>
          <w:color w:val="auto"/>
        </w:rPr>
        <w:fldChar w:fldCharType="separate"/>
      </w:r>
      <w:r>
        <w:rPr>
          <w:rFonts w:hint="eastAsia" w:asciiTheme="minorEastAsia" w:hAnsiTheme="minorEastAsia" w:eastAsiaTheme="minorEastAsia" w:cstheme="minorEastAsia"/>
          <w:color w:val="auto"/>
          <w:sz w:val="28"/>
          <w:szCs w:val="28"/>
        </w:rPr>
        <w:t xml:space="preserve">第四章 评标标准</w:t>
      </w:r>
      <w:r>
        <w:rPr>
          <w:rFonts w:hint="eastAsia" w:asciiTheme="minorEastAsia" w:hAnsiTheme="minorEastAsia" w:eastAsiaTheme="minorEastAsia" w:cstheme="minorEastAsia"/>
          <w:color w:val="auto"/>
          <w:sz w:val="28"/>
          <w:szCs w:val="28"/>
        </w:rPr>
        <w:tab/>
      </w:r>
      <w:r>
        <w:rPr>
          <w:rFonts w:hint="eastAsia" w:asciiTheme="minorEastAsia" w:hAnsiTheme="minorEastAsia" w:eastAsiaTheme="minorEastAsia" w:cstheme="minorEastAsia"/>
          <w:color w:val="auto"/>
          <w:sz w:val="28"/>
          <w:szCs w:val="28"/>
        </w:rPr>
        <w:fldChar w:fldCharType="begin"/>
      </w:r>
      <w:r>
        <w:rPr>
          <w:rFonts w:hint="eastAsia" w:asciiTheme="minorEastAsia" w:hAnsiTheme="minorEastAsia" w:eastAsiaTheme="minorEastAsia" w:cstheme="minorEastAsia"/>
          <w:color w:val="auto"/>
          <w:sz w:val="28"/>
          <w:szCs w:val="28"/>
        </w:rPr>
        <w:instrText xml:space="preserve"> PAGEREF _Toc17353 \h </w:instrText>
      </w:r>
      <w:r>
        <w:rPr>
          <w:rFonts w:hint="eastAsia" w:asciiTheme="minorEastAsia" w:hAnsiTheme="minorEastAsia" w:eastAsiaTheme="minorEastAsia" w:cstheme="minorEastAsia"/>
          <w:color w:val="auto"/>
          <w:sz w:val="28"/>
          <w:szCs w:val="28"/>
        </w:rPr>
        <w:fldChar w:fldCharType="separate"/>
      </w:r>
      <w:r>
        <w:rPr>
          <w:rFonts w:hint="eastAsia" w:asciiTheme="minorEastAsia" w:hAnsiTheme="minorEastAsia" w:eastAsiaTheme="minorEastAsia" w:cstheme="minorEastAsia"/>
          <w:color w:val="auto"/>
          <w:sz w:val="28"/>
          <w:szCs w:val="28"/>
        </w:rPr>
        <w:t xml:space="preserve">23</w:t>
      </w:r>
      <w:r>
        <w:rPr>
          <w:rFonts w:hint="eastAsia" w:asciiTheme="minorEastAsia" w:hAnsiTheme="minorEastAsia" w:eastAsiaTheme="minorEastAsia" w:cstheme="minorEastAsia"/>
          <w:color w:val="auto"/>
          <w:sz w:val="28"/>
          <w:szCs w:val="28"/>
        </w:rPr>
        <w:fldChar w:fldCharType="end"/>
      </w:r>
      <w:r>
        <w:rPr>
          <w:rFonts w:hint="eastAsia" w:asciiTheme="minorEastAsia" w:hAnsiTheme="minorEastAsia" w:eastAsiaTheme="minorEastAsia" w:cstheme="minorEastAsia"/>
          <w:color w:val="auto"/>
          <w:sz w:val="28"/>
          <w:szCs w:val="28"/>
        </w:rPr>
        <w:fldChar w:fldCharType="end"/>
      </w:r>
      <w:r/>
    </w:p>
    <w:p>
      <w:pPr>
        <w:pStyle w:val="860"/>
        <w:tabs>
          <w:tab w:val="right" w:pos="9638" w:leader="dot"/>
        </w:tabs>
        <w:rPr>
          <w:rFonts w:hint="eastAsia" w:asciiTheme="minorEastAsia" w:hAnsiTheme="minorEastAsia" w:eastAsiaTheme="minorEastAsia" w:cstheme="minorEastAsia"/>
          <w:color w:val="auto"/>
          <w:sz w:val="28"/>
          <w:szCs w:val="28"/>
        </w:rPr>
      </w:pPr>
      <w:r>
        <w:rPr>
          <w:color w:val="auto"/>
        </w:rPr>
        <w:fldChar w:fldCharType="begin"/>
      </w:r>
      <w:r>
        <w:rPr>
          <w:color w:val="auto"/>
        </w:rPr>
        <w:instrText xml:space="preserve"> HYPERLINK \l "_Toc21667" </w:instrText>
      </w:r>
      <w:r>
        <w:rPr>
          <w:color w:val="auto"/>
        </w:rPr>
        <w:fldChar w:fldCharType="separate"/>
      </w:r>
      <w:r>
        <w:rPr>
          <w:rFonts w:hint="eastAsia" w:asciiTheme="minorEastAsia" w:hAnsiTheme="minorEastAsia" w:eastAsiaTheme="minorEastAsia" w:cstheme="minorEastAsia"/>
          <w:color w:val="auto"/>
          <w:sz w:val="28"/>
          <w:szCs w:val="28"/>
        </w:rPr>
        <w:t xml:space="preserve">第五章 采购需求</w:t>
      </w:r>
      <w:r>
        <w:rPr>
          <w:rFonts w:hint="eastAsia" w:asciiTheme="minorEastAsia" w:hAnsiTheme="minorEastAsia" w:eastAsiaTheme="minorEastAsia" w:cstheme="minorEastAsia"/>
          <w:color w:val="auto"/>
          <w:sz w:val="28"/>
          <w:szCs w:val="28"/>
        </w:rPr>
        <w:tab/>
      </w:r>
      <w:r>
        <w:rPr>
          <w:rFonts w:hint="eastAsia" w:asciiTheme="minorEastAsia" w:hAnsiTheme="minorEastAsia" w:eastAsiaTheme="minorEastAsia" w:cstheme="minorEastAsia"/>
          <w:color w:val="auto"/>
          <w:sz w:val="28"/>
          <w:szCs w:val="28"/>
        </w:rPr>
        <w:fldChar w:fldCharType="begin"/>
      </w:r>
      <w:r>
        <w:rPr>
          <w:rFonts w:hint="eastAsia" w:asciiTheme="minorEastAsia" w:hAnsiTheme="minorEastAsia" w:eastAsiaTheme="minorEastAsia" w:cstheme="minorEastAsia"/>
          <w:color w:val="auto"/>
          <w:sz w:val="28"/>
          <w:szCs w:val="28"/>
        </w:rPr>
        <w:instrText xml:space="preserve"> PAGEREF _Toc21667 \h </w:instrText>
      </w:r>
      <w:r>
        <w:rPr>
          <w:rFonts w:hint="eastAsia" w:asciiTheme="minorEastAsia" w:hAnsiTheme="minorEastAsia" w:eastAsiaTheme="minorEastAsia" w:cstheme="minorEastAsia"/>
          <w:color w:val="auto"/>
          <w:sz w:val="28"/>
          <w:szCs w:val="28"/>
        </w:rPr>
        <w:fldChar w:fldCharType="separate"/>
      </w:r>
      <w:r>
        <w:rPr>
          <w:rFonts w:hint="eastAsia" w:asciiTheme="minorEastAsia" w:hAnsiTheme="minorEastAsia" w:eastAsiaTheme="minorEastAsia" w:cstheme="minorEastAsia"/>
          <w:color w:val="auto"/>
          <w:sz w:val="28"/>
          <w:szCs w:val="28"/>
        </w:rPr>
        <w:t xml:space="preserve">25</w:t>
      </w:r>
      <w:r>
        <w:rPr>
          <w:rFonts w:hint="eastAsia" w:asciiTheme="minorEastAsia" w:hAnsiTheme="minorEastAsia" w:eastAsiaTheme="minorEastAsia" w:cstheme="minorEastAsia"/>
          <w:color w:val="auto"/>
          <w:sz w:val="28"/>
          <w:szCs w:val="28"/>
        </w:rPr>
        <w:fldChar w:fldCharType="end"/>
      </w:r>
      <w:r>
        <w:rPr>
          <w:rFonts w:hint="eastAsia" w:asciiTheme="minorEastAsia" w:hAnsiTheme="minorEastAsia" w:eastAsiaTheme="minorEastAsia" w:cstheme="minorEastAsia"/>
          <w:color w:val="auto"/>
          <w:sz w:val="28"/>
          <w:szCs w:val="28"/>
        </w:rPr>
        <w:fldChar w:fldCharType="end"/>
      </w:r>
      <w:r/>
    </w:p>
    <w:p>
      <w:pPr>
        <w:pStyle w:val="860"/>
        <w:tabs>
          <w:tab w:val="right" w:pos="9638" w:leader="dot"/>
        </w:tabs>
        <w:rPr>
          <w:rFonts w:hint="eastAsia" w:asciiTheme="minorEastAsia" w:hAnsiTheme="minorEastAsia" w:eastAsiaTheme="minorEastAsia" w:cstheme="minorEastAsia"/>
          <w:color w:val="auto"/>
          <w:sz w:val="28"/>
          <w:szCs w:val="28"/>
        </w:rPr>
      </w:pPr>
      <w:r>
        <w:rPr>
          <w:color w:val="auto"/>
        </w:rPr>
        <w:fldChar w:fldCharType="begin"/>
      </w:r>
      <w:r>
        <w:rPr>
          <w:color w:val="auto"/>
        </w:rPr>
        <w:instrText xml:space="preserve"> HYPERLINK \l "_Toc31910" </w:instrText>
      </w:r>
      <w:r>
        <w:rPr>
          <w:color w:val="auto"/>
        </w:rPr>
        <w:fldChar w:fldCharType="separate"/>
      </w:r>
      <w:r>
        <w:rPr>
          <w:rFonts w:hint="eastAsia" w:asciiTheme="minorEastAsia" w:hAnsiTheme="minorEastAsia" w:eastAsiaTheme="minorEastAsia" w:cstheme="minorEastAsia"/>
          <w:color w:val="auto"/>
          <w:sz w:val="28"/>
          <w:szCs w:val="28"/>
        </w:rPr>
        <w:t xml:space="preserve">第六章 拟签订的合同文本</w:t>
      </w:r>
      <w:r>
        <w:rPr>
          <w:rFonts w:hint="eastAsia" w:asciiTheme="minorEastAsia" w:hAnsiTheme="minorEastAsia" w:eastAsiaTheme="minorEastAsia" w:cstheme="minorEastAsia"/>
          <w:color w:val="auto"/>
          <w:sz w:val="28"/>
          <w:szCs w:val="28"/>
        </w:rPr>
        <w:tab/>
      </w:r>
      <w:r>
        <w:rPr>
          <w:rFonts w:hint="eastAsia" w:asciiTheme="minorEastAsia" w:hAnsiTheme="minorEastAsia" w:eastAsiaTheme="minorEastAsia" w:cstheme="minorEastAsia"/>
          <w:color w:val="auto"/>
          <w:sz w:val="28"/>
          <w:szCs w:val="28"/>
        </w:rPr>
        <w:fldChar w:fldCharType="begin"/>
      </w:r>
      <w:r>
        <w:rPr>
          <w:rFonts w:hint="eastAsia" w:asciiTheme="minorEastAsia" w:hAnsiTheme="minorEastAsia" w:eastAsiaTheme="minorEastAsia" w:cstheme="minorEastAsia"/>
          <w:color w:val="auto"/>
          <w:sz w:val="28"/>
          <w:szCs w:val="28"/>
        </w:rPr>
        <w:instrText xml:space="preserve"> PAGEREF _Toc31910 \h </w:instrText>
      </w:r>
      <w:r>
        <w:rPr>
          <w:rFonts w:hint="eastAsia" w:asciiTheme="minorEastAsia" w:hAnsiTheme="minorEastAsia" w:eastAsiaTheme="minorEastAsia" w:cstheme="minorEastAsia"/>
          <w:color w:val="auto"/>
          <w:sz w:val="28"/>
          <w:szCs w:val="28"/>
        </w:rPr>
        <w:fldChar w:fldCharType="separate"/>
      </w:r>
      <w:r>
        <w:rPr>
          <w:rFonts w:hint="eastAsia" w:asciiTheme="minorEastAsia" w:hAnsiTheme="minorEastAsia" w:eastAsiaTheme="minorEastAsia" w:cstheme="minorEastAsia"/>
          <w:color w:val="auto"/>
          <w:sz w:val="28"/>
          <w:szCs w:val="28"/>
        </w:rPr>
        <w:t xml:space="preserve">39</w:t>
      </w:r>
      <w:r>
        <w:rPr>
          <w:rFonts w:hint="eastAsia" w:asciiTheme="minorEastAsia" w:hAnsiTheme="minorEastAsia" w:eastAsiaTheme="minorEastAsia" w:cstheme="minorEastAsia"/>
          <w:color w:val="auto"/>
          <w:sz w:val="28"/>
          <w:szCs w:val="28"/>
        </w:rPr>
        <w:fldChar w:fldCharType="end"/>
      </w:r>
      <w:r>
        <w:rPr>
          <w:rFonts w:hint="eastAsia" w:asciiTheme="minorEastAsia" w:hAnsiTheme="minorEastAsia" w:eastAsiaTheme="minorEastAsia" w:cstheme="minorEastAsia"/>
          <w:color w:val="auto"/>
          <w:sz w:val="28"/>
          <w:szCs w:val="28"/>
        </w:rPr>
        <w:fldChar w:fldCharType="end"/>
      </w:r>
      <w:r/>
    </w:p>
    <w:p>
      <w:pPr>
        <w:pStyle w:val="860"/>
        <w:tabs>
          <w:tab w:val="right" w:pos="9638" w:leader="dot"/>
        </w:tabs>
        <w:rPr>
          <w:rFonts w:hint="eastAsia" w:asciiTheme="minorEastAsia" w:hAnsiTheme="minorEastAsia" w:eastAsiaTheme="minorEastAsia" w:cstheme="minorEastAsia"/>
          <w:color w:val="auto"/>
          <w:sz w:val="28"/>
          <w:szCs w:val="28"/>
        </w:rPr>
      </w:pPr>
      <w:r>
        <w:rPr>
          <w:color w:val="auto"/>
        </w:rPr>
        <w:fldChar w:fldCharType="begin"/>
      </w:r>
      <w:r>
        <w:rPr>
          <w:color w:val="auto"/>
        </w:rPr>
        <w:instrText xml:space="preserve"> HYPERLINK \l "_Toc28952" </w:instrText>
      </w:r>
      <w:r>
        <w:rPr>
          <w:color w:val="auto"/>
        </w:rPr>
        <w:fldChar w:fldCharType="separate"/>
      </w:r>
      <w:r>
        <w:rPr>
          <w:rFonts w:hint="eastAsia" w:asciiTheme="minorEastAsia" w:hAnsiTheme="minorEastAsia" w:eastAsiaTheme="minorEastAsia" w:cstheme="minorEastAsia"/>
          <w:color w:val="auto"/>
          <w:sz w:val="28"/>
          <w:szCs w:val="28"/>
        </w:rPr>
        <w:t xml:space="preserve">第七章 投标文件相关格式</w:t>
      </w:r>
      <w:r>
        <w:rPr>
          <w:rFonts w:hint="eastAsia" w:asciiTheme="minorEastAsia" w:hAnsiTheme="minorEastAsia" w:eastAsiaTheme="minorEastAsia" w:cstheme="minorEastAsia"/>
          <w:color w:val="auto"/>
          <w:sz w:val="28"/>
          <w:szCs w:val="28"/>
        </w:rPr>
        <w:tab/>
      </w:r>
      <w:r>
        <w:rPr>
          <w:rFonts w:hint="eastAsia" w:asciiTheme="minorEastAsia" w:hAnsiTheme="minorEastAsia" w:eastAsiaTheme="minorEastAsia" w:cstheme="minorEastAsia"/>
          <w:color w:val="auto"/>
          <w:sz w:val="28"/>
          <w:szCs w:val="28"/>
        </w:rPr>
        <w:fldChar w:fldCharType="begin"/>
      </w:r>
      <w:r>
        <w:rPr>
          <w:rFonts w:hint="eastAsia" w:asciiTheme="minorEastAsia" w:hAnsiTheme="minorEastAsia" w:eastAsiaTheme="minorEastAsia" w:cstheme="minorEastAsia"/>
          <w:color w:val="auto"/>
          <w:sz w:val="28"/>
          <w:szCs w:val="28"/>
        </w:rPr>
        <w:instrText xml:space="preserve"> PAGEREF _Toc28952 \h </w:instrText>
      </w:r>
      <w:r>
        <w:rPr>
          <w:rFonts w:hint="eastAsia" w:asciiTheme="minorEastAsia" w:hAnsiTheme="minorEastAsia" w:eastAsiaTheme="minorEastAsia" w:cstheme="minorEastAsia"/>
          <w:color w:val="auto"/>
          <w:sz w:val="28"/>
          <w:szCs w:val="28"/>
        </w:rPr>
        <w:fldChar w:fldCharType="separate"/>
      </w:r>
      <w:r>
        <w:rPr>
          <w:rFonts w:hint="eastAsia" w:asciiTheme="minorEastAsia" w:hAnsiTheme="minorEastAsia" w:eastAsiaTheme="minorEastAsia" w:cstheme="minorEastAsia"/>
          <w:color w:val="auto"/>
          <w:sz w:val="28"/>
          <w:szCs w:val="28"/>
        </w:rPr>
        <w:t xml:space="preserve">47</w:t>
      </w:r>
      <w:r>
        <w:rPr>
          <w:rFonts w:hint="eastAsia" w:asciiTheme="minorEastAsia" w:hAnsiTheme="minorEastAsia" w:eastAsiaTheme="minorEastAsia" w:cstheme="minorEastAsia"/>
          <w:color w:val="auto"/>
          <w:sz w:val="28"/>
          <w:szCs w:val="28"/>
        </w:rPr>
        <w:fldChar w:fldCharType="end"/>
      </w:r>
      <w:r>
        <w:rPr>
          <w:rFonts w:hint="eastAsia" w:asciiTheme="minorEastAsia" w:hAnsiTheme="minorEastAsia" w:eastAsiaTheme="minorEastAsia" w:cstheme="minorEastAsia"/>
          <w:color w:val="auto"/>
          <w:sz w:val="28"/>
          <w:szCs w:val="28"/>
        </w:rPr>
        <w:fldChar w:fldCharType="end"/>
      </w:r>
      <w:r/>
    </w:p>
    <w:p>
      <w:pPr>
        <w:jc w:val="center"/>
        <w:spacing w:line="600" w:lineRule="auto"/>
        <w:rPr>
          <w:rFonts w:hint="eastAsia" w:asciiTheme="minorEastAsia" w:hAnsiTheme="minorEastAsia" w:eastAsiaTheme="minorEastAsia" w:cstheme="minorEastAsia"/>
          <w:color w:val="auto"/>
          <w:szCs w:val="44"/>
        </w:rPr>
      </w:pPr>
      <w:r>
        <w:rPr>
          <w:rFonts w:hint="eastAsia" w:asciiTheme="minorEastAsia" w:hAnsiTheme="minorEastAsia" w:eastAsiaTheme="minorEastAsia" w:cstheme="minorEastAsia"/>
          <w:color w:val="auto"/>
          <w:sz w:val="28"/>
          <w:szCs w:val="28"/>
        </w:rPr>
        <w:fldChar w:fldCharType="end"/>
      </w:r>
      <w:r/>
    </w:p>
    <w:p>
      <w:pPr>
        <w:jc w:val="center"/>
        <w:spacing w:line="360" w:lineRule="auto"/>
        <w:rPr>
          <w:rFonts w:hint="eastAsia" w:asciiTheme="minorEastAsia" w:hAnsiTheme="minorEastAsia" w:eastAsiaTheme="minorEastAsia" w:cstheme="minorEastAsia"/>
          <w:color w:val="auto"/>
          <w:szCs w:val="44"/>
        </w:rPr>
      </w:pPr>
      <w:r>
        <w:rPr>
          <w:rFonts w:hint="eastAsia" w:asciiTheme="minorEastAsia" w:hAnsiTheme="minorEastAsia" w:eastAsiaTheme="minorEastAsia" w:cstheme="minorEastAsia"/>
          <w:color w:val="auto"/>
          <w:szCs w:val="44"/>
        </w:rPr>
      </w:r>
      <w:r/>
    </w:p>
    <w:p>
      <w:pPr>
        <w:jc w:val="center"/>
        <w:spacing w:line="360" w:lineRule="auto"/>
        <w:rPr>
          <w:rFonts w:hint="eastAsia" w:asciiTheme="minorEastAsia" w:hAnsiTheme="minorEastAsia" w:eastAsiaTheme="minorEastAsia" w:cstheme="minorEastAsia"/>
          <w:color w:val="auto"/>
          <w:szCs w:val="44"/>
        </w:rPr>
      </w:pPr>
      <w:r>
        <w:rPr>
          <w:rFonts w:hint="eastAsia" w:asciiTheme="minorEastAsia" w:hAnsiTheme="minorEastAsia" w:eastAsiaTheme="minorEastAsia" w:cstheme="minorEastAsia"/>
          <w:color w:val="auto"/>
          <w:szCs w:val="44"/>
        </w:rPr>
      </w:r>
      <w:r/>
    </w:p>
    <w:p>
      <w:pPr>
        <w:jc w:val="center"/>
        <w:spacing w:line="360" w:lineRule="auto"/>
        <w:rPr>
          <w:rFonts w:hint="eastAsia" w:asciiTheme="minorEastAsia" w:hAnsiTheme="minorEastAsia" w:eastAsiaTheme="minorEastAsia" w:cstheme="minorEastAsia"/>
          <w:color w:val="auto"/>
          <w:szCs w:val="44"/>
        </w:rPr>
      </w:pPr>
      <w:r>
        <w:rPr>
          <w:rFonts w:hint="eastAsia" w:asciiTheme="minorEastAsia" w:hAnsiTheme="minorEastAsia" w:eastAsiaTheme="minorEastAsia" w:cstheme="minorEastAsia"/>
          <w:color w:val="auto"/>
          <w:szCs w:val="44"/>
        </w:rPr>
      </w:r>
      <w:r/>
    </w:p>
    <w:p>
      <w:pPr>
        <w:jc w:val="center"/>
        <w:spacing w:line="360" w:lineRule="auto"/>
        <w:rPr>
          <w:rFonts w:hint="eastAsia" w:asciiTheme="minorEastAsia" w:hAnsiTheme="minorEastAsia" w:eastAsiaTheme="minorEastAsia" w:cstheme="minorEastAsia"/>
          <w:color w:val="auto"/>
          <w:szCs w:val="44"/>
        </w:rPr>
      </w:pPr>
      <w:r>
        <w:rPr>
          <w:rFonts w:hint="eastAsia" w:asciiTheme="minorEastAsia" w:hAnsiTheme="minorEastAsia" w:eastAsiaTheme="minorEastAsia" w:cstheme="minorEastAsia"/>
          <w:color w:val="auto"/>
          <w:szCs w:val="44"/>
        </w:rPr>
      </w:r>
      <w:r/>
    </w:p>
    <w:p>
      <w:pPr>
        <w:jc w:val="center"/>
        <w:spacing w:line="360" w:lineRule="auto"/>
        <w:rPr>
          <w:rFonts w:hint="eastAsia" w:asciiTheme="minorEastAsia" w:hAnsiTheme="minorEastAsia" w:eastAsiaTheme="minorEastAsia" w:cstheme="minorEastAsia"/>
          <w:color w:val="auto"/>
          <w:szCs w:val="44"/>
        </w:rPr>
      </w:pPr>
      <w:r>
        <w:rPr>
          <w:rFonts w:hint="eastAsia" w:asciiTheme="minorEastAsia" w:hAnsiTheme="minorEastAsia" w:eastAsiaTheme="minorEastAsia" w:cstheme="minorEastAsia"/>
          <w:color w:val="auto"/>
          <w:szCs w:val="44"/>
        </w:rPr>
      </w:r>
      <w:r/>
    </w:p>
    <w:p>
      <w:pPr>
        <w:jc w:val="center"/>
        <w:spacing w:line="360" w:lineRule="auto"/>
        <w:rPr>
          <w:rFonts w:hint="eastAsia" w:asciiTheme="minorEastAsia" w:hAnsiTheme="minorEastAsia" w:eastAsiaTheme="minorEastAsia" w:cstheme="minorEastAsia"/>
          <w:color w:val="auto"/>
          <w:szCs w:val="44"/>
        </w:rPr>
      </w:pPr>
      <w:r>
        <w:rPr>
          <w:rFonts w:hint="eastAsia" w:asciiTheme="minorEastAsia" w:hAnsiTheme="minorEastAsia" w:eastAsiaTheme="minorEastAsia" w:cstheme="minorEastAsia"/>
          <w:color w:val="auto"/>
          <w:szCs w:val="44"/>
        </w:rPr>
      </w:r>
      <w:r/>
    </w:p>
    <w:p>
      <w:pPr>
        <w:jc w:val="center"/>
        <w:spacing w:line="360" w:lineRule="auto"/>
        <w:rPr>
          <w:rFonts w:hint="eastAsia" w:asciiTheme="minorEastAsia" w:hAnsiTheme="minorEastAsia" w:eastAsiaTheme="minorEastAsia" w:cstheme="minorEastAsia"/>
          <w:color w:val="auto"/>
          <w:szCs w:val="44"/>
        </w:rPr>
      </w:pPr>
      <w:r>
        <w:rPr>
          <w:rFonts w:hint="eastAsia" w:asciiTheme="minorEastAsia" w:hAnsiTheme="minorEastAsia" w:eastAsiaTheme="minorEastAsia" w:cstheme="minorEastAsia"/>
          <w:color w:val="auto"/>
          <w:szCs w:val="44"/>
        </w:rPr>
      </w:r>
      <w:r/>
    </w:p>
    <w:p>
      <w:pPr>
        <w:jc w:val="center"/>
        <w:spacing w:line="360" w:lineRule="auto"/>
        <w:rPr>
          <w:rFonts w:hint="eastAsia" w:asciiTheme="minorEastAsia" w:hAnsiTheme="minorEastAsia" w:eastAsiaTheme="minorEastAsia" w:cstheme="minorEastAsia"/>
          <w:color w:val="auto"/>
          <w:szCs w:val="44"/>
        </w:rPr>
      </w:pPr>
      <w:r>
        <w:rPr>
          <w:rFonts w:hint="eastAsia" w:asciiTheme="minorEastAsia" w:hAnsiTheme="minorEastAsia" w:eastAsiaTheme="minorEastAsia" w:cstheme="minorEastAsia"/>
          <w:color w:val="auto"/>
          <w:szCs w:val="44"/>
        </w:rPr>
      </w:r>
      <w:r/>
    </w:p>
    <w:p>
      <w:pPr>
        <w:jc w:val="center"/>
        <w:spacing w:line="360" w:lineRule="auto"/>
        <w:rPr>
          <w:rFonts w:hint="eastAsia" w:asciiTheme="minorEastAsia" w:hAnsiTheme="minorEastAsia" w:eastAsiaTheme="minorEastAsia" w:cstheme="minorEastAsia"/>
          <w:color w:val="auto"/>
          <w:szCs w:val="44"/>
        </w:rPr>
      </w:pPr>
      <w:r>
        <w:rPr>
          <w:rFonts w:hint="eastAsia" w:asciiTheme="minorEastAsia" w:hAnsiTheme="minorEastAsia" w:eastAsiaTheme="minorEastAsia" w:cstheme="minorEastAsia"/>
          <w:color w:val="auto"/>
          <w:szCs w:val="44"/>
        </w:rPr>
      </w:r>
      <w:r/>
    </w:p>
    <w:p>
      <w:pPr>
        <w:jc w:val="center"/>
        <w:spacing w:line="360" w:lineRule="auto"/>
        <w:rPr>
          <w:rFonts w:hint="eastAsia" w:asciiTheme="minorEastAsia" w:hAnsiTheme="minorEastAsia" w:eastAsiaTheme="minorEastAsia" w:cstheme="minorEastAsia"/>
          <w:color w:val="auto"/>
          <w:szCs w:val="44"/>
        </w:rPr>
      </w:pPr>
      <w:r>
        <w:rPr>
          <w:rFonts w:hint="eastAsia" w:asciiTheme="minorEastAsia" w:hAnsiTheme="minorEastAsia" w:eastAsiaTheme="minorEastAsia" w:cstheme="minorEastAsia"/>
          <w:color w:val="auto"/>
          <w:szCs w:val="44"/>
        </w:rPr>
      </w:r>
      <w:r/>
    </w:p>
    <w:p>
      <w:pPr>
        <w:jc w:val="center"/>
        <w:spacing w:line="360" w:lineRule="auto"/>
        <w:rPr>
          <w:rFonts w:hint="eastAsia" w:asciiTheme="minorEastAsia" w:hAnsiTheme="minorEastAsia" w:eastAsiaTheme="minorEastAsia" w:cstheme="minorEastAsia"/>
          <w:color w:val="auto"/>
          <w:szCs w:val="44"/>
        </w:rPr>
      </w:pPr>
      <w:r>
        <w:rPr>
          <w:rFonts w:hint="eastAsia" w:asciiTheme="minorEastAsia" w:hAnsiTheme="minorEastAsia" w:eastAsiaTheme="minorEastAsia" w:cstheme="minorEastAsia"/>
          <w:color w:val="auto"/>
          <w:szCs w:val="44"/>
        </w:rPr>
      </w:r>
      <w:r/>
    </w:p>
    <w:p>
      <w:pPr>
        <w:jc w:val="center"/>
        <w:spacing w:line="360" w:lineRule="auto"/>
        <w:rPr>
          <w:rFonts w:hint="eastAsia" w:asciiTheme="minorEastAsia" w:hAnsiTheme="minorEastAsia" w:eastAsiaTheme="minorEastAsia" w:cstheme="minorEastAsia"/>
          <w:color w:val="auto"/>
          <w:szCs w:val="44"/>
        </w:rPr>
      </w:pPr>
      <w:r>
        <w:rPr>
          <w:rFonts w:hint="eastAsia" w:asciiTheme="minorEastAsia" w:hAnsiTheme="minorEastAsia" w:eastAsiaTheme="minorEastAsia" w:cstheme="minorEastAsia"/>
          <w:color w:val="auto"/>
          <w:szCs w:val="44"/>
        </w:rPr>
      </w:r>
      <w:r/>
    </w:p>
    <w:p>
      <w:pPr>
        <w:jc w:val="center"/>
        <w:spacing w:line="360" w:lineRule="auto"/>
        <w:rPr>
          <w:rFonts w:hint="eastAsia" w:asciiTheme="minorEastAsia" w:hAnsiTheme="minorEastAsia" w:eastAsiaTheme="minorEastAsia" w:cstheme="minorEastAsia"/>
          <w:color w:val="auto"/>
          <w:szCs w:val="44"/>
        </w:rPr>
      </w:pPr>
      <w:r>
        <w:rPr>
          <w:rFonts w:hint="eastAsia" w:asciiTheme="minorEastAsia" w:hAnsiTheme="minorEastAsia" w:eastAsiaTheme="minorEastAsia" w:cstheme="minorEastAsia"/>
          <w:color w:val="auto"/>
          <w:szCs w:val="44"/>
        </w:rPr>
      </w:r>
      <w:r/>
    </w:p>
    <w:p>
      <w:pPr>
        <w:jc w:val="center"/>
        <w:spacing w:line="360" w:lineRule="auto"/>
        <w:rPr>
          <w:rFonts w:hint="eastAsia" w:asciiTheme="minorEastAsia" w:hAnsiTheme="minorEastAsia" w:eastAsiaTheme="minorEastAsia" w:cstheme="minorEastAsia"/>
          <w:color w:val="auto"/>
          <w:szCs w:val="44"/>
        </w:rPr>
      </w:pPr>
      <w:r>
        <w:rPr>
          <w:rFonts w:hint="eastAsia" w:asciiTheme="minorEastAsia" w:hAnsiTheme="minorEastAsia" w:eastAsiaTheme="minorEastAsia" w:cstheme="minorEastAsia"/>
          <w:color w:val="auto"/>
          <w:szCs w:val="44"/>
        </w:rPr>
      </w:r>
      <w:r/>
    </w:p>
    <w:p>
      <w:pPr>
        <w:jc w:val="center"/>
        <w:spacing w:line="360" w:lineRule="auto"/>
        <w:rPr>
          <w:rFonts w:hint="eastAsia" w:asciiTheme="minorEastAsia" w:hAnsiTheme="minorEastAsia" w:eastAsiaTheme="minorEastAsia" w:cstheme="minorEastAsia"/>
          <w:color w:val="auto"/>
          <w:szCs w:val="44"/>
        </w:rPr>
      </w:pPr>
      <w:r>
        <w:rPr>
          <w:rFonts w:hint="eastAsia" w:asciiTheme="minorEastAsia" w:hAnsiTheme="minorEastAsia" w:eastAsiaTheme="minorEastAsia" w:cstheme="minorEastAsia"/>
          <w:color w:val="auto"/>
          <w:szCs w:val="44"/>
        </w:rPr>
      </w:r>
      <w:r/>
    </w:p>
    <w:p>
      <w:pPr>
        <w:jc w:val="center"/>
        <w:spacing w:line="360" w:lineRule="auto"/>
        <w:rPr>
          <w:rFonts w:hint="eastAsia" w:asciiTheme="minorEastAsia" w:hAnsiTheme="minorEastAsia" w:eastAsiaTheme="minorEastAsia" w:cstheme="minorEastAsia"/>
          <w:color w:val="auto"/>
          <w:szCs w:val="44"/>
        </w:rPr>
      </w:pPr>
      <w:r>
        <w:rPr>
          <w:rFonts w:hint="eastAsia" w:asciiTheme="minorEastAsia" w:hAnsiTheme="minorEastAsia" w:eastAsiaTheme="minorEastAsia" w:cstheme="minorEastAsia"/>
          <w:color w:val="auto"/>
          <w:szCs w:val="44"/>
        </w:rPr>
      </w:r>
      <w:r/>
    </w:p>
    <w:p>
      <w:pPr>
        <w:pStyle w:val="856"/>
        <w:rPr>
          <w:rFonts w:hint="eastAsia" w:asciiTheme="minorEastAsia" w:hAnsiTheme="minorEastAsia" w:eastAsiaTheme="minorEastAsia" w:cstheme="minorEastAsia"/>
          <w:color w:val="auto"/>
          <w:szCs w:val="44"/>
        </w:rPr>
      </w:pPr>
      <w:r>
        <w:rPr>
          <w:rFonts w:hint="eastAsia" w:asciiTheme="minorEastAsia" w:hAnsiTheme="minorEastAsia" w:eastAsiaTheme="minorEastAsia" w:cstheme="minorEastAsia"/>
          <w:color w:val="auto"/>
          <w:szCs w:val="44"/>
        </w:rPr>
      </w:r>
      <w:r/>
    </w:p>
    <w:p>
      <w:pPr>
        <w:jc w:val="center"/>
        <w:spacing w:line="360" w:lineRule="auto"/>
        <w:rPr>
          <w:rFonts w:hint="eastAsia" w:asciiTheme="minorEastAsia" w:hAnsiTheme="minorEastAsia" w:eastAsiaTheme="minorEastAsia" w:cstheme="minorEastAsia"/>
          <w:b/>
          <w:bCs/>
          <w:color w:val="auto"/>
          <w:sz w:val="28"/>
          <w:szCs w:val="28"/>
        </w:rPr>
        <w:sectPr>
          <w:footerReference w:type="default" r:id="rId9"/>
          <w:footnotePr/>
          <w:endnotePr/>
          <w:type w:val="nextPage"/>
          <w:pgSz w:w="11906" w:h="16838" w:orient="portrait"/>
          <w:pgMar w:top="1134" w:right="1134" w:bottom="1134" w:left="1134" w:header="851" w:footer="992" w:gutter="0"/>
          <w:pgNumType w:start="1"/>
          <w:cols w:num="1" w:sep="0" w:space="720" w:equalWidth="1"/>
          <w:docGrid w:linePitch="360"/>
        </w:sectPr>
      </w:pPr>
      <w:r>
        <w:rPr>
          <w:rFonts w:hint="eastAsia" w:asciiTheme="minorEastAsia" w:hAnsiTheme="minorEastAsia" w:eastAsiaTheme="minorEastAsia" w:cstheme="minorEastAsia"/>
          <w:b/>
          <w:bCs/>
          <w:color w:val="auto"/>
          <w:sz w:val="28"/>
          <w:szCs w:val="28"/>
        </w:rPr>
      </w:r>
      <w:r/>
    </w:p>
    <w:p>
      <w:pPr>
        <w:jc w:val="center"/>
        <w:spacing w:line="360" w:lineRule="auto"/>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 xml:space="preserve">2025年城市安全建设-市管12座桥梁轻量化监测设备安装</w:t>
      </w:r>
      <w:r/>
    </w:p>
    <w:p>
      <w:pPr>
        <w:jc w:val="center"/>
        <w:spacing w:line="360" w:lineRule="auto"/>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 xml:space="preserve">招标文件</w:t>
      </w:r>
      <w:r/>
    </w:p>
    <w:p>
      <w:pPr>
        <w:ind w:firstLine="480"/>
        <w:jc w:val="left"/>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遵照政府采购法律法规、制度规定和采购人的采购需求、评标标准、评标办法，编制本项目招标文件。本项目招标文件共分七章：第一章，投标邀请；第二章，供应商须知；第三章，投标资料表；第四章，评标标准；第五章，采购需求；第六章，拟签订的合同文本；第七章，投标文件相关格式。</w:t>
      </w:r>
      <w:r/>
    </w:p>
    <w:p>
      <w:pPr>
        <w:numPr>
          <w:ilvl w:val="0"/>
          <w:numId w:val="1"/>
        </w:numPr>
        <w:jc w:val="center"/>
        <w:spacing w:line="360" w:lineRule="auto"/>
        <w:rPr>
          <w:rFonts w:hint="eastAsia" w:asciiTheme="minorEastAsia" w:hAnsiTheme="minorEastAsia" w:eastAsiaTheme="minorEastAsia" w:cstheme="minorEastAsia"/>
          <w:b/>
          <w:bCs/>
          <w:color w:val="auto"/>
          <w:sz w:val="32"/>
          <w:szCs w:val="32"/>
        </w:rPr>
        <w:outlineLvl w:val="0"/>
      </w:pPr>
      <w:r>
        <w:rPr>
          <w:rFonts w:hint="eastAsia" w:asciiTheme="minorEastAsia" w:hAnsiTheme="minorEastAsia" w:eastAsiaTheme="minorEastAsia" w:cstheme="minorEastAsia"/>
          <w:b/>
          <w:bCs/>
          <w:color w:val="auto"/>
          <w:sz w:val="32"/>
          <w:szCs w:val="32"/>
        </w:rPr>
        <w:t xml:space="preserve"> </w:t>
      </w:r>
      <w:bookmarkStart w:id="0" w:name="_Toc32524"/>
      <w:r/>
      <w:bookmarkStart w:id="1" w:name="_Toc27244"/>
      <w:r>
        <w:rPr>
          <w:rFonts w:hint="eastAsia" w:asciiTheme="minorEastAsia" w:hAnsiTheme="minorEastAsia" w:eastAsiaTheme="minorEastAsia" w:cstheme="minorEastAsia"/>
          <w:b/>
          <w:bCs/>
          <w:color w:val="auto"/>
          <w:sz w:val="32"/>
          <w:szCs w:val="32"/>
        </w:rPr>
        <w:t xml:space="preserve">投标邀请</w:t>
      </w:r>
      <w:bookmarkEnd w:id="0"/>
      <w:r/>
      <w:bookmarkEnd w:id="1"/>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江苏执策建设管理有限公司对2025年城市安全建设-市管12座桥梁轻量化监测设备安装进行公开招标采购，现欢迎符合相关条件的供应商投标。</w:t>
      </w:r>
      <w:r/>
    </w:p>
    <w:p>
      <w:pPr>
        <w:spacing w:line="360" w:lineRule="auto"/>
        <w:rPr>
          <w:rFonts w:hint="eastAsia" w:asciiTheme="minorEastAsia" w:hAnsiTheme="minorEastAsia" w:eastAsiaTheme="minorEastAsia" w:cstheme="minorEastAsia"/>
          <w:b/>
          <w:bCs/>
          <w:color w:val="auto"/>
          <w:sz w:val="24"/>
        </w:rPr>
      </w:pPr>
      <w:r>
        <w:rPr>
          <w:rFonts w:hint="eastAsia" w:asciiTheme="minorEastAsia" w:hAnsiTheme="minorEastAsia" w:eastAsiaTheme="minorEastAsia" w:cstheme="minorEastAsia"/>
          <w:b/>
          <w:bCs/>
          <w:color w:val="auto"/>
          <w:sz w:val="24"/>
        </w:rPr>
        <w:t xml:space="preserve">一、项目名称和项目编号</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（一）项目名称：2025年城市安全建设-市管12座桥梁轻量化监测设备安装</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（二）项目编号：JSZC-320300-ZCGL-G2025-0016  </w:t>
      </w:r>
      <w:r/>
    </w:p>
    <w:p>
      <w:pPr>
        <w:spacing w:line="360" w:lineRule="auto"/>
        <w:rPr>
          <w:rFonts w:hint="eastAsia" w:asciiTheme="minorEastAsia" w:hAnsiTheme="minorEastAsia" w:eastAsiaTheme="minorEastAsia" w:cstheme="minorEastAsia"/>
          <w:b/>
          <w:bCs/>
          <w:color w:val="auto"/>
          <w:sz w:val="24"/>
        </w:rPr>
      </w:pPr>
      <w:r>
        <w:rPr>
          <w:rFonts w:hint="eastAsia" w:asciiTheme="minorEastAsia" w:hAnsiTheme="minorEastAsia" w:eastAsiaTheme="minorEastAsia" w:cstheme="minorEastAsia"/>
          <w:b/>
          <w:bCs/>
          <w:color w:val="auto"/>
          <w:sz w:val="24"/>
        </w:rPr>
        <w:t xml:space="preserve">二、供应商的资格要求：</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详见本项目公开招标公告。</w:t>
      </w:r>
      <w:r/>
    </w:p>
    <w:p>
      <w:pPr>
        <w:spacing w:line="360" w:lineRule="auto"/>
        <w:rPr>
          <w:rFonts w:hint="eastAsia" w:asciiTheme="minorEastAsia" w:hAnsiTheme="minorEastAsia" w:eastAsiaTheme="minorEastAsia" w:cstheme="minorEastAsia"/>
          <w:b/>
          <w:bCs/>
          <w:color w:val="auto"/>
          <w:sz w:val="24"/>
        </w:rPr>
      </w:pPr>
      <w:r>
        <w:rPr>
          <w:rFonts w:hint="eastAsia" w:asciiTheme="minorEastAsia" w:hAnsiTheme="minorEastAsia" w:eastAsiaTheme="minorEastAsia" w:cstheme="minorEastAsia"/>
          <w:b/>
          <w:bCs/>
          <w:color w:val="auto"/>
          <w:sz w:val="24"/>
        </w:rPr>
        <w:t xml:space="preserve">三、获取招标文件</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（1）潜在供应商访问电子招标投标交易平台的网络地址和方法：</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①“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0"/>
        <w:jc w:val="left"/>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②潜在供应商访问“苏采云”系统的网络地址和方法：“苏采云”系统的网址：http://jszfcg.jsczt.cn/；或进入徐州政府采购网（网址：http://czj.xz.gov.cn/Home/HomeIndex）--业务工作--用户登录，点击“苏采云”进入系统。</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③“CA数字证书”的获取：</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④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（2）采购代理机构将数据电文形式的招标文件加载至电子招标投标交易平台，供潜在供应商下载或者查阅。</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（3）苏采云系统使用谷歌浏览器参与不见面开标。</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（4）售价：免费。</w:t>
      </w:r>
      <w:r/>
    </w:p>
    <w:p>
      <w:pPr>
        <w:spacing w:line="360" w:lineRule="auto"/>
        <w:rPr>
          <w:rFonts w:hint="eastAsia" w:asciiTheme="minorEastAsia" w:hAnsiTheme="minorEastAsia" w:eastAsiaTheme="minorEastAsia" w:cstheme="minorEastAsia"/>
          <w:b/>
          <w:bCs/>
          <w:color w:val="auto"/>
          <w:sz w:val="24"/>
        </w:rPr>
      </w:pPr>
      <w:r>
        <w:rPr>
          <w:rFonts w:hint="eastAsia" w:asciiTheme="minorEastAsia" w:hAnsiTheme="minorEastAsia" w:eastAsiaTheme="minorEastAsia" w:cstheme="minorEastAsia"/>
          <w:b/>
          <w:bCs/>
          <w:color w:val="auto"/>
          <w:sz w:val="24"/>
        </w:rPr>
        <w:t xml:space="preserve">四、投标有关信息：</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（一）</w:t>
      </w:r>
      <w:r>
        <w:rPr>
          <w:rFonts w:hint="eastAsia" w:asciiTheme="minorEastAsia" w:hAnsiTheme="minorEastAsia" w:eastAsiaTheme="minorEastAsia" w:cstheme="minorEastAsia"/>
          <w:b/>
          <w:bCs/>
          <w:color w:val="auto"/>
          <w:sz w:val="24"/>
        </w:rPr>
        <w:t xml:space="preserve">投标截止时间：2025年10月</w:t>
      </w:r>
      <w:r>
        <w:rPr>
          <w:rFonts w:hint="eastAsia" w:asciiTheme="minorEastAsia" w:hAnsiTheme="minorEastAsia" w:eastAsiaTheme="minorEastAsia" w:cstheme="minorEastAsia"/>
          <w:b/>
          <w:bCs/>
          <w:color w:val="auto"/>
          <w:sz w:val="24"/>
          <w:lang w:val="en-US" w:eastAsia="zh-CN"/>
        </w:rPr>
        <w:t xml:space="preserve">31</w:t>
      </w:r>
      <w:r>
        <w:rPr>
          <w:rFonts w:hint="eastAsia" w:asciiTheme="minorEastAsia" w:hAnsiTheme="minorEastAsia" w:eastAsiaTheme="minorEastAsia" w:cstheme="minorEastAsia"/>
          <w:b/>
          <w:bCs/>
          <w:color w:val="auto"/>
          <w:sz w:val="24"/>
        </w:rPr>
        <w:t xml:space="preserve">日9：30（北京时间）</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（二）</w:t>
      </w:r>
      <w:r>
        <w:rPr>
          <w:rFonts w:hint="eastAsia" w:asciiTheme="minorEastAsia" w:hAnsiTheme="minorEastAsia" w:eastAsiaTheme="minorEastAsia" w:cstheme="minorEastAsia"/>
          <w:b/>
          <w:bCs/>
          <w:color w:val="auto"/>
          <w:sz w:val="24"/>
        </w:rPr>
        <w:t xml:space="preserve">开标时间：2025年10月</w:t>
      </w:r>
      <w:r>
        <w:rPr>
          <w:rFonts w:hint="eastAsia" w:asciiTheme="minorEastAsia" w:hAnsiTheme="minorEastAsia" w:eastAsiaTheme="minorEastAsia" w:cstheme="minorEastAsia"/>
          <w:b/>
          <w:bCs/>
          <w:color w:val="auto"/>
          <w:sz w:val="24"/>
          <w:lang w:val="en-US" w:eastAsia="zh-CN"/>
        </w:rPr>
        <w:t xml:space="preserve">31</w:t>
      </w:r>
      <w:r>
        <w:rPr>
          <w:rFonts w:hint="eastAsia" w:asciiTheme="minorEastAsia" w:hAnsiTheme="minorEastAsia" w:eastAsiaTheme="minorEastAsia" w:cstheme="minorEastAsia"/>
          <w:b/>
          <w:bCs/>
          <w:color w:val="auto"/>
          <w:sz w:val="24"/>
        </w:rPr>
        <w:t xml:space="preserve">日9：30（北京时间）</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（三）开标地点：“苏采云”系统（网址： http://jszfcg.jsczt.cn/）“开标大厅”或进入徐州政府采购网（网址：http://czj.xz.gov.cn/Home/HomeIndex）-业务工作-用户登录，点击“苏采云”进入系统“开标大厅”。</w:t>
      </w:r>
      <w:r/>
    </w:p>
    <w:p>
      <w:pPr>
        <w:spacing w:line="360" w:lineRule="auto"/>
        <w:rPr>
          <w:rFonts w:hint="eastAsia" w:asciiTheme="minorEastAsia" w:hAnsiTheme="minorEastAsia" w:eastAsiaTheme="minorEastAsia" w:cstheme="minorEastAsia"/>
          <w:b/>
          <w:bCs/>
          <w:color w:val="auto"/>
          <w:sz w:val="24"/>
        </w:rPr>
      </w:pPr>
      <w:r>
        <w:rPr>
          <w:rFonts w:hint="eastAsia" w:asciiTheme="minorEastAsia" w:hAnsiTheme="minorEastAsia" w:eastAsiaTheme="minorEastAsia" w:cstheme="minorEastAsia"/>
          <w:b/>
          <w:bCs/>
          <w:color w:val="auto"/>
          <w:sz w:val="24"/>
        </w:rPr>
        <w:t xml:space="preserve">五、采购人</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（一）采购人：徐州市城市管理局 </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（二）地址：江苏省徐州市云龙区新城区元和路1号E区536室                    </w:t>
      </w:r>
      <w:r>
        <w:rPr>
          <w:rFonts w:asciiTheme="minorEastAsia" w:hAnsiTheme="minorEastAsia" w:eastAsiaTheme="minorEastAsia" w:cstheme="minorEastAsia"/>
          <w:color w:val="auto"/>
          <w:sz w:val="24"/>
        </w:rPr>
        <w:t xml:space="preserve"> </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（三）项目联系人：阮玉良     </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（四）联系方式：0516-83387776  </w:t>
      </w:r>
      <w:r/>
    </w:p>
    <w:p>
      <w:pPr>
        <w:spacing w:line="360" w:lineRule="auto"/>
        <w:rPr>
          <w:rFonts w:hint="eastAsia" w:asciiTheme="minorEastAsia" w:hAnsiTheme="minorEastAsia" w:eastAsiaTheme="minorEastAsia" w:cstheme="minorEastAsia"/>
          <w:b/>
          <w:bCs/>
          <w:color w:val="auto"/>
          <w:sz w:val="24"/>
        </w:rPr>
      </w:pPr>
      <w:r>
        <w:rPr>
          <w:rFonts w:hint="eastAsia" w:asciiTheme="minorEastAsia" w:hAnsiTheme="minorEastAsia" w:eastAsiaTheme="minorEastAsia" w:cstheme="minorEastAsia"/>
          <w:b/>
          <w:bCs/>
          <w:color w:val="auto"/>
          <w:sz w:val="24"/>
        </w:rPr>
        <w:t xml:space="preserve">六、采购代理机构</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（一）名称：江苏执策建设管理有限公司</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（二）地址：盐城经济技术开发区黄山南路12号新嘉源人才公寓9幢509室</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（三）采购项目联系人：卢林兵  </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（四）联系方式：13395245931 </w:t>
      </w:r>
      <w:r/>
    </w:p>
    <w:p>
      <w:pPr>
        <w:ind w:firstLine="744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2025年10月</w:t>
      </w:r>
      <w:r>
        <w:rPr>
          <w:rFonts w:hint="eastAsia" w:asciiTheme="minorEastAsia" w:hAnsiTheme="minorEastAsia" w:eastAsiaTheme="minorEastAsia" w:cstheme="minorEastAsia"/>
          <w:color w:val="auto"/>
          <w:sz w:val="24"/>
          <w:lang w:val="en-US" w:eastAsia="zh-CN"/>
        </w:rPr>
        <w:t xml:space="preserve">10</w:t>
      </w:r>
      <w:r>
        <w:rPr>
          <w:rFonts w:hint="eastAsia" w:asciiTheme="minorEastAsia" w:hAnsiTheme="minorEastAsia" w:eastAsiaTheme="minorEastAsia" w:cstheme="minorEastAsia"/>
          <w:color w:val="auto"/>
          <w:sz w:val="24"/>
        </w:rPr>
        <w:t xml:space="preserve">日</w:t>
      </w:r>
      <w:r/>
    </w:p>
    <w:p>
      <w:pPr>
        <w:ind w:firstLine="744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pStyle w:val="856"/>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pStyle w:val="856"/>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pStyle w:val="856"/>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pStyle w:val="856"/>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pStyle w:val="856"/>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pStyle w:val="856"/>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numPr>
          <w:ilvl w:val="0"/>
          <w:numId w:val="1"/>
        </w:numPr>
        <w:jc w:val="center"/>
        <w:spacing w:line="360" w:lineRule="auto"/>
        <w:rPr>
          <w:rFonts w:hint="eastAsia" w:asciiTheme="minorEastAsia" w:hAnsiTheme="minorEastAsia" w:eastAsiaTheme="minorEastAsia" w:cstheme="minorEastAsia"/>
          <w:b/>
          <w:bCs/>
          <w:color w:val="auto"/>
          <w:sz w:val="32"/>
          <w:szCs w:val="32"/>
        </w:rPr>
        <w:outlineLvl w:val="0"/>
      </w:pPr>
      <w:r>
        <w:rPr>
          <w:rFonts w:hint="eastAsia" w:asciiTheme="minorEastAsia" w:hAnsiTheme="minorEastAsia" w:eastAsiaTheme="minorEastAsia" w:cstheme="minorEastAsia"/>
          <w:b/>
          <w:bCs/>
          <w:color w:val="auto"/>
          <w:sz w:val="32"/>
          <w:szCs w:val="32"/>
        </w:rPr>
        <w:t xml:space="preserve"> </w:t>
      </w:r>
      <w:bookmarkStart w:id="2" w:name="_Toc5214"/>
      <w:r/>
      <w:bookmarkStart w:id="3" w:name="_Toc21838"/>
      <w:r>
        <w:rPr>
          <w:rFonts w:hint="eastAsia" w:asciiTheme="minorEastAsia" w:hAnsiTheme="minorEastAsia" w:eastAsiaTheme="minorEastAsia" w:cstheme="minorEastAsia"/>
          <w:b/>
          <w:bCs/>
          <w:color w:val="auto"/>
          <w:sz w:val="32"/>
          <w:szCs w:val="32"/>
        </w:rPr>
        <w:t xml:space="preserve">供应商须知</w:t>
      </w:r>
      <w:bookmarkEnd w:id="2"/>
      <w:r/>
      <w:bookmarkEnd w:id="3"/>
      <w:r/>
      <w:r/>
    </w:p>
    <w:p>
      <w:pPr>
        <w:jc w:val="center"/>
        <w:spacing w:line="360" w:lineRule="auto"/>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color w:val="auto"/>
          <w:sz w:val="32"/>
          <w:szCs w:val="32"/>
        </w:rPr>
      </w:r>
      <w:r/>
    </w:p>
    <w:p>
      <w:pPr>
        <w:jc w:val="center"/>
        <w:spacing w:line="360" w:lineRule="auto"/>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color w:val="auto"/>
          <w:sz w:val="32"/>
          <w:szCs w:val="32"/>
        </w:rPr>
        <w:t xml:space="preserve">目录</w:t>
      </w:r>
      <w:r/>
    </w:p>
    <w:p>
      <w:pPr>
        <w:ind w:firstLine="560"/>
        <w:jc w:val="left"/>
        <w:spacing w:line="36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一、总则</w:t>
      </w:r>
      <w:r/>
    </w:p>
    <w:p>
      <w:pPr>
        <w:ind w:firstLine="560"/>
        <w:jc w:val="left"/>
        <w:spacing w:line="36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二、招标</w:t>
      </w:r>
      <w:r/>
    </w:p>
    <w:p>
      <w:pPr>
        <w:ind w:firstLine="560"/>
        <w:jc w:val="left"/>
        <w:spacing w:line="36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三、投标</w:t>
      </w:r>
      <w:r/>
    </w:p>
    <w:p>
      <w:pPr>
        <w:ind w:firstLine="560"/>
        <w:jc w:val="left"/>
        <w:spacing w:line="36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四、开标</w:t>
      </w:r>
      <w:r/>
    </w:p>
    <w:p>
      <w:pPr>
        <w:ind w:firstLine="560"/>
        <w:jc w:val="left"/>
        <w:spacing w:line="36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五、评标</w:t>
      </w:r>
      <w:r/>
    </w:p>
    <w:p>
      <w:pPr>
        <w:ind w:firstLine="560"/>
        <w:jc w:val="left"/>
        <w:spacing w:line="36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六、定标</w:t>
      </w:r>
      <w:r/>
    </w:p>
    <w:p>
      <w:pPr>
        <w:ind w:firstLine="560"/>
        <w:jc w:val="left"/>
        <w:spacing w:line="36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七、政府采购合同</w:t>
      </w:r>
      <w:r/>
    </w:p>
    <w:p>
      <w:pPr>
        <w:ind w:firstLine="560"/>
        <w:jc w:val="left"/>
        <w:spacing w:line="36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八、询问和质疑</w:t>
      </w:r>
      <w:r/>
    </w:p>
    <w:p>
      <w:pPr>
        <w:jc w:val="left"/>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jc w:val="left"/>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jc w:val="left"/>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jc w:val="left"/>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jc w:val="left"/>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jc w:val="left"/>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jc w:val="left"/>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jc w:val="left"/>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jc w:val="left"/>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jc w:val="left"/>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jc w:val="left"/>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jc w:val="left"/>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jc w:val="left"/>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jc w:val="left"/>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jc w:val="left"/>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pStyle w:val="856"/>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jc w:val="center"/>
        <w:spacing w:line="360" w:lineRule="auto"/>
        <w:rPr>
          <w:rFonts w:hint="eastAsia" w:asciiTheme="minorEastAsia" w:hAnsiTheme="minorEastAsia" w:eastAsiaTheme="minorEastAsia" w:cstheme="minorEastAsia"/>
          <w:b/>
          <w:bCs/>
          <w:color w:val="auto"/>
          <w:sz w:val="24"/>
        </w:rPr>
      </w:pPr>
      <w:r>
        <w:rPr>
          <w:rFonts w:hint="eastAsia" w:asciiTheme="minorEastAsia" w:hAnsiTheme="minorEastAsia" w:eastAsiaTheme="minorEastAsia" w:cstheme="minorEastAsia"/>
          <w:b/>
          <w:bCs/>
          <w:color w:val="auto"/>
          <w:sz w:val="24"/>
        </w:rPr>
        <w:t xml:space="preserve">一、总则</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（一）采购人。采购人是指依法进行政府采购的国家机关、事业单位、团体组织。</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（二）政府采购方式。政府采购货物或者服务（以下简称“货物服务”）招标分为公开招标和邀请招标。本次采购采用的政府采购方式：见招标文件第三章《投标资料表》。</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（三）采购人应当在货物服务招标投标活动中落实节约能源、保护环境、扶持不发达地区和少数民族地区、促进中小企业发展等政府采购政策。</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①本项目应当履行促进绿色低碳循环发展，执行国家相关绿色标准，推动环保、节能、节水、循环、低碳、再生、有机等绿色产品和相关绿色服务、绿色基础设施应用的要求。</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②若项目要求提供履约担保的，中标供应商可以以履约保函(保险)形式代替提供履约保证金。供应商可登录江苏政府采购网“资料下载”栏目 (网址:http://www.ccgp-jiangsu.gov.cn/jiangsu/zlxz)下载“政府采购电子履约保函(保险)操作手册”</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③本项目若选用商品，其包装验收要求需达到《关于印发《商品包装政府采购需求标准（试行）》、 《快递包装政府采购需求标准（试行）》的通知》（财办库〔2020〕123号）中《商品包装政府采购需求标准（试行）》的标准。</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④本项目若选用商品通过快递方式运送的，其快递包装需满足《关于印发《商品包装政府采购需求标准（试行）》、 《快递包装政府采购需求标准（试行）》的通知》（财办库〔2020〕123号）中《快递包装政府采购需求标准（试行）》的验收要求。</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四）采购人应当按照财政部制定的《政府采购品目分类目录》确定采购项目属性。按照《政府采购品目分类目录》无法确定的，按照有利于采购项目实施的原则确定。采购人确定的采购项目属性：见招标文件第三章《投标资料表》。</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（五）采购人委托采购代理机构代理招标的，采购代理机构应当在采购人委托的范围内依法开展采购活动。本项目采购代理机构：见招标文件第三章《投标资料表》。</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（六）供应商的资格条件</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1.参加采购货物服务投标活动的供应商（以下简称“供应商”），应当是提供本国货物服务的本国供应商，但法律、行政法规规定外国供应商可以参加货物服务招标投标活动的除外。 </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供应商，是指响应招标、参加投标竞争的法人、其他组织或者自然人。</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2.供应商授权代表系指法定代表人或受法人委托的受托人。</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（七）投标费用：供应商应承担所有与准备和参加投标有关的费用。无论投标的结果如何，采购代理机构对上述费用不承担任何责任和义务。</w:t>
      </w:r>
      <w:r>
        <w:rPr>
          <w:rFonts w:hint="eastAsia" w:asciiTheme="minorEastAsia" w:hAnsiTheme="minorEastAsia" w:eastAsiaTheme="minorEastAsia" w:cstheme="minorEastAsia"/>
          <w:color w:val="auto"/>
          <w:sz w:val="24"/>
        </w:rPr>
        <w:tab/>
      </w:r>
      <w:r/>
    </w:p>
    <w:p>
      <w:pPr>
        <w:jc w:val="center"/>
        <w:spacing w:line="360" w:lineRule="auto"/>
        <w:rPr>
          <w:rFonts w:hint="eastAsia" w:asciiTheme="minorEastAsia" w:hAnsiTheme="minorEastAsia" w:eastAsiaTheme="minorEastAsia" w:cstheme="minorEastAsia"/>
          <w:b/>
          <w:bCs/>
          <w:color w:val="auto"/>
          <w:sz w:val="24"/>
        </w:rPr>
      </w:pPr>
      <w:r>
        <w:rPr>
          <w:rFonts w:hint="eastAsia" w:asciiTheme="minorEastAsia" w:hAnsiTheme="minorEastAsia" w:eastAsiaTheme="minorEastAsia" w:cstheme="minorEastAsia"/>
          <w:b/>
          <w:bCs/>
          <w:color w:val="auto"/>
          <w:sz w:val="24"/>
        </w:rPr>
        <w:t xml:space="preserve">二、招标</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（八）招标文件的内容</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1.招标文件包括以下内容：</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第一章 投标邀请</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第二章 供应商须知</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第三章 投标资料表</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第四章 评标标准</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第五章 采购需求</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第六章 拟签订的合同文本</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第七章 投标文件相关格式</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2.供应商应检查招标文件中所有的须知、格式、条款、项目要求和其它资料。如果供应商没有按照招标文件的要求提交全部资料，或者提交的资料没有对招标文件在各方面作出实质性响应，可能导致其投标被拒绝，该风险由供应商承担。</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3.样品 本项目对样品的要求：见招标文件第三章《投标资料表》。</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（九）招标文件澄清或者修改</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澄清或者修改的内容可能影响投标文件编制的，采购代理机构应当在投标截止时间至少15日前，以书面形式通知所有获取招标文件的潜在供应商；不足15日的，采购代理机构应当顺延提交投标文件的截止时间。</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2.现场考察以招标文件第三章《投标资料表》中的要求为准。</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3.开标前答疑会以招标文件第三章《投标资料表》中的要求为准。</w:t>
      </w:r>
      <w:r/>
    </w:p>
    <w:p>
      <w:pPr>
        <w:jc w:val="center"/>
        <w:spacing w:line="360" w:lineRule="auto"/>
        <w:rPr>
          <w:rFonts w:hint="eastAsia" w:asciiTheme="minorEastAsia" w:hAnsiTheme="minorEastAsia" w:eastAsiaTheme="minorEastAsia" w:cstheme="minorEastAsia"/>
          <w:b/>
          <w:bCs/>
          <w:color w:val="auto"/>
          <w:sz w:val="24"/>
        </w:rPr>
      </w:pPr>
      <w:r>
        <w:rPr>
          <w:rFonts w:hint="eastAsia" w:asciiTheme="minorEastAsia" w:hAnsiTheme="minorEastAsia" w:eastAsiaTheme="minorEastAsia" w:cstheme="minorEastAsia"/>
          <w:b/>
          <w:bCs/>
          <w:color w:val="auto"/>
          <w:sz w:val="24"/>
        </w:rPr>
        <w:t xml:space="preserve">三、投标</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（十）供应商应当按照招标文件的要求编制投标文件。投标文件应对招标文件提出的要求和条件作出实质性响应。</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（十一）投标文件的语言。投标文件以及供应商与采购代理机构就有关投标的往来函电均应使用招标文件第三章《投标资料表》规定的语言书写，否则无效。</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（十二）投标文件的构成</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1.投标文件的构成以招标文件第三章《投标资料表》中的要求为准。</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2.供应商应当提交的资格、资信证明文件：以招标文件第三章《投标资料表》中的要求为准。</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（十三）投标函和价格表、商务条件、交货和提供服务的时间</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1.投标函和价格表：要求见本章（十二）、（十三），格式见招标文件第七章《投标文件相关格式》中《投标函》和《开标一览表》。</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2.商务条件：以招标文件第三章《投标资料表》中的要求为准。</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3.交货和提供服务的时间：以招标文件第三章《投标资料表》中的要求为准。</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（十四）投标报价要求</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1.供应商应按照招标文件的要求报出分项价格和总价。</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2.供应商应按照招标文件的要求进行报价，如供应商作出偏离，应在《偏离表》中列出。</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3.采购人不支付报价以外的任何费用。</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4.供应商所报的价格在合同执行过程中是固定的，不得以任何理由予以变更。供应商提交滑动价格的投标文件在资格性、符合性检查时按照无效投标处理。</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5.供应商只能提交一个投标价格，供应商提交多个价格的投标文件在资格性、符合性检查时按照无效投标处理。</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（十五）投标货币。以招标文件第三章《投标资料表》中的要求为准。</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（十六）投标有效期</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1.投标有效期为开标之日后90天。采购人可以要求对投标有效期延长一次，但该延长期最长不超过30天。</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2.采购人应在距投标有效期满30日之前书面通知供应商，要求其延长投标有效期。如果有关供应商同意延长投标有效期的要求，其应在原投标有效期期满前以书面形式向采购人确认。</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3.如果采购人发出要求投标有效期延长的通知并在投标有效期届满前没有收到供应商同意其投标有效期延长的书面通知，则视为该供应商不接受上述延期的要求。供应商不接受延长投标有效期的要求。</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（十七）投标文件的编制要求和签署要求：</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1.投标人应由其法定代表人或法定代表人授权代表在规定的网上投标时间，凭 CA 证书登陆“苏采云”系统在线编制投标文件（电子数据），并在投标截止时间之前上传投标文件。</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2.投标人应对 CA 证书妥善保管，如被他人盗用投标，因此带来的结果均由投标人自行承担。</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3.投标人应当对招标文件提出的要求和条件作出实质性响应，并在电子投标系统逐条应答。</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4.投标人应对要求提供的资格证明文件（如资质证书、资格证书）、技术资料（如白皮书、彩页、手册、检测报告等）扫描上传至投标系统。</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（十八）投标文件的密封、签署、盖章要求：</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投标文件的盖章要求，以本文件第三章《投标资料表》中所提要求为准。</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（十九）提交投标文件的截止时间和收到投标文件后注意事项。投标人应在招标文件要求的提交投标文件的截止时间前，将投标文件提交至“苏采云”系统。</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（二十）凡在招标文件要求提交投标文件的截止时间之后送达的投标文件，均为无效投标文件，“苏采云”系统将自动拒收。 各投标人应在规定时间内通过 CA 证书进行网上解密。</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（二十一）投标人在投标截止时间前，可以对所递交的投标文件进行补充、修改或者撤回。其所进行补充、修改的内容，应当按照招标文件要求进行签署、盖章，然后纳为投标文件的组成部分。</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（二十二）本项目不允许任何形式的转包及借用资质承包。</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（二十三）供应商应当遵循公平竞争的原则，不得恶意串通，不得妨碍其他供应商的竞争行为，不得损害采购人或者其他供应商的合法权益。</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在评标过程中发现供应商有上述情形的，评标委员会应当认定其投标无效，并书面报告本级财政部门。</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（二十四）有下列情形之一的，其投标无效：</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1.不同投标人的投标文件，由同一单位或者个人编制；</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2.不同投标人委托同一单位或者个人办理投标事宜；</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3.不同投标人的投标文件中，所载明的项目管理成员或联系人为同一人；</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4.不同投标人的投标文件，异常一致或者投标报价呈规律性差异；</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5.不同投标人投标文件内容存在非正常一致、项目组成员出现同一人、投标文件中错误（或异常）一致或雷同、电子文档信息一致或雷同的、投标报价呈规律性差异的；</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6.电子投标文件未按规定期限投标的；</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7.电子投标文件未按招标文件要求签章的；</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8.投标人未在规定时间内解密电子投标文件的；</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9.投标文件未按招标文件规定的内容和要求填写的；没有在投标系统指定位置上传对应文件、材料的；</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10.不具备招标文件中规定的资格要求的；</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11.报价超过招标文件中规定的预算金额或者最高限价的；</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12.投标文件含有采购人不能接受的附加条件的；</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13.法律、法规和招标文件规定的其他无效情形。</w:t>
      </w:r>
      <w:r/>
    </w:p>
    <w:p>
      <w:pPr>
        <w:jc w:val="center"/>
        <w:spacing w:line="360" w:lineRule="auto"/>
        <w:rPr>
          <w:rFonts w:hint="eastAsia" w:asciiTheme="minorEastAsia" w:hAnsiTheme="minorEastAsia" w:eastAsiaTheme="minorEastAsia" w:cstheme="minorEastAsia"/>
          <w:b/>
          <w:bCs/>
          <w:color w:val="auto"/>
          <w:sz w:val="24"/>
        </w:rPr>
      </w:pPr>
      <w:r>
        <w:rPr>
          <w:rFonts w:hint="eastAsia" w:asciiTheme="minorEastAsia" w:hAnsiTheme="minorEastAsia" w:eastAsiaTheme="minorEastAsia" w:cstheme="minorEastAsia"/>
          <w:b/>
          <w:bCs/>
          <w:color w:val="auto"/>
          <w:sz w:val="24"/>
        </w:rPr>
        <w:t xml:space="preserve">四、开标</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（二十五）开标：</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1.开标时间及地点。开标应当在招标文件确定的提交投标文件截止时间的同一时间公开进行；开标地点应当为招标文件中预先确定的地点。</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2.由电子招标投标交易平台主持，邀请投标人参加。</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3.所有投标单位使用 CA 证书在开标时间时，解密各自投标文件，投标人不足3家的，不得评标。</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4.投标人原因造成投标文件未解密的，视为撤销其投标文件;因投标人之外的原因造成投标文件未解密的，视为撤回其投标文件。部分投标文件未解密的，其他投标文件的开标可以继续进行。</w:t>
      </w:r>
      <w:r/>
    </w:p>
    <w:p>
      <w:pPr>
        <w:jc w:val="center"/>
        <w:spacing w:line="360" w:lineRule="auto"/>
        <w:rPr>
          <w:rFonts w:hint="eastAsia" w:asciiTheme="minorEastAsia" w:hAnsiTheme="minorEastAsia" w:eastAsiaTheme="minorEastAsia" w:cstheme="minorEastAsia"/>
          <w:b/>
          <w:bCs/>
          <w:color w:val="auto"/>
          <w:sz w:val="24"/>
        </w:rPr>
      </w:pPr>
      <w:r>
        <w:rPr>
          <w:rFonts w:hint="eastAsia" w:asciiTheme="minorEastAsia" w:hAnsiTheme="minorEastAsia" w:eastAsiaTheme="minorEastAsia" w:cstheme="minorEastAsia"/>
          <w:b/>
          <w:bCs/>
          <w:color w:val="auto"/>
          <w:sz w:val="24"/>
        </w:rPr>
        <w:t xml:space="preserve">五、评标</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（二十六）公开招标采购项目开标结束后，采购人依法对供应商的资格进行审查。合格供应商不足3家的，不得评标。</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1.评标工作由采购代理机构负责组织，并履行下列职责：</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（1）核对评审专家身份和采购人代表授权函，对评审专家在政府采购活动中的职责履行情况予以记录，并及时将有关违法违规行为向财政部门报告；</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（2）宣布评标纪律；</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（3）公布供应商名单，告知评审专家应当回避的情形；</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（4）组织评标委员会推选评标组长，采购人代表不得担任组长；</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（5）在评标期间采取必要的通讯管理措施，保证评标活动不受外界干扰；</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（6）根据评标委员会的要求介绍政府采购相关政策法规、招标文件；</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（7）维护评标秩序，监督评标委员会依照招标文件规定的评标程序、方法和标准进行独立评审，及时制止和纠正采购人代表、评审专家的倾向性言论或者违法违规行为；</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（8）核对评标结果，有《政府采购货物和服务招标投标管理办法》第六十四条规定情形的，要求评标委员会复核或者书面说明理由，评标委员会拒绝的，应予记录并向本级财政部门报告；</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（9）评审工作完成后，按照规定向评审专家支付劳务报酬和异地评审差旅费，不得向评审专家以外的其他人员支付评审劳务报酬；</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（10）处理与评标有关的其他事项。</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采购人可以在评标前说明项目背景和采购需求，说明内容不得含有歧视性、倾向性意见，不得超出招标文件所述范围。说明应当提交书面材料，并随采购文件一并存档。</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2.评标委员会负责具体评标事务，并独立履行下列职责：</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（1）审查、评价投标文件是否符合招标文件的商务、技术等实质性要求；</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（2）要求供应商对投标文件有关事项作出澄清或者说明；</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（3）对投标文件进行比较和评价；</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（4）确定中标候选人名单，以及根据采购人委托直接确定中标人；</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（5）向采购人、采购代理机构或者有关部门报告评标中发现的违法行为。</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（二十七）评标方法、评标标准。评标方法分为最低评标价法和综合评分法。本项目的评标方法：见招标文件第三章《投标资料表》。</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（二十八）评标</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1.评标工作程序：</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（1）投标文件初审。</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①资格性审查。</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②符合性审查。</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（2）澄清有关问题。</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（3）比较与评价。</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（4）推荐中标候选供应商名单。</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（5）编写评审报告（评标报告）。</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2.在评标中，不得改变招标文件中规定的评标标准、方法和中标条件。评标委员会对投标文件响应性的判定，要基于投标文件本身的内容，而不得寻求外部的证据。</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3.采用最低评标价法的采购项目，对提供相同品牌产品的不同投标人参加同一合同项下投标的，应以其中通过资格审查、符合性审查的，并且报价最低的参加评标；报价相同的，采取随机抽取方式确定，其他投标无效。</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采用综合评分法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非单一产品采购项目，多家投标人提供的核心产品品牌相同的，按前两款规定处理。</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（二十九）投标文件报价出现前后不一致的，按照下列规定修正：</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1.投标文件中开标一览表（报价表）内容与投标文件中相应内容不一致的，以开标一览表（报价表）为准。</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2.大写金额和小写金额不一致的，以大写金额为准。</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3.单价金额小数点或者百分比有明显错位的，以开标一览表的总价为准，并修改单价。</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4.总价金额与按单价合计金额不一致的，以单价金额计算结果为准。</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同时出现两种以上不一致的，按照前款规定的顺序修正。将修正后的报价，形成投标人的澄清、说明或补正材料，经投标人确认后产生约束力。投标人不确认的，其投标无效。</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评标中需要投标人对投标文件澄清或者说明的，应当通过“苏采云”系统交换数据电文。在评标期间，请投标人保持在线。</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firstLine="482"/>
        <w:spacing w:line="360" w:lineRule="auto"/>
        <w:rPr>
          <w:rFonts w:hint="eastAsia" w:asciiTheme="minorEastAsia" w:hAnsiTheme="minorEastAsia" w:eastAsiaTheme="minorEastAsia" w:cstheme="minorEastAsia"/>
          <w:b/>
          <w:bCs/>
          <w:color w:val="auto"/>
          <w:sz w:val="24"/>
        </w:rPr>
      </w:pPr>
      <w:r>
        <w:rPr>
          <w:rFonts w:hint="eastAsia" w:asciiTheme="minorEastAsia" w:hAnsiTheme="minorEastAsia" w:eastAsiaTheme="minorEastAsia" w:cstheme="minorEastAsia"/>
          <w:b/>
          <w:bCs/>
          <w:color w:val="auto"/>
          <w:sz w:val="24"/>
        </w:rPr>
        <w:t xml:space="preserve">1.评审过程中出现下列情形之一的，</w:t>
      </w:r>
      <w:r>
        <w:rPr>
          <w:rFonts w:hint="eastAsia" w:asciiTheme="minorEastAsia" w:hAnsiTheme="minorEastAsia" w:eastAsiaTheme="minorEastAsia" w:cstheme="minorEastAsia"/>
          <w:b/>
          <w:bCs/>
          <w:color w:val="auto"/>
          <w:sz w:val="24"/>
          <w:lang w:val="en-US" w:eastAsia="zh-CN"/>
        </w:rPr>
        <w:t xml:space="preserve">评审委员会</w:t>
      </w:r>
      <w:r>
        <w:rPr>
          <w:rFonts w:hint="eastAsia" w:asciiTheme="minorEastAsia" w:hAnsiTheme="minorEastAsia" w:eastAsiaTheme="minorEastAsia" w:cstheme="minorEastAsia"/>
          <w:b/>
          <w:bCs/>
          <w:color w:val="auto"/>
          <w:sz w:val="24"/>
        </w:rPr>
        <w:t xml:space="preserve">应当启动异常低价投标（响应）审查程序：</w:t>
      </w:r>
      <w:r/>
    </w:p>
    <w:p>
      <w:pPr>
        <w:ind w:firstLine="482"/>
        <w:spacing w:line="360" w:lineRule="auto"/>
        <w:rPr>
          <w:rFonts w:hint="eastAsia" w:asciiTheme="minorEastAsia" w:hAnsiTheme="minorEastAsia" w:eastAsiaTheme="minorEastAsia" w:cstheme="minorEastAsia"/>
          <w:b/>
          <w:bCs/>
          <w:color w:val="auto"/>
          <w:sz w:val="24"/>
        </w:rPr>
      </w:pPr>
      <w:r>
        <w:rPr>
          <w:rFonts w:hint="eastAsia" w:asciiTheme="minorEastAsia" w:hAnsiTheme="minorEastAsia" w:eastAsiaTheme="minorEastAsia" w:cstheme="minorEastAsia"/>
          <w:b/>
          <w:bCs/>
          <w:color w:val="auto"/>
          <w:sz w:val="24"/>
        </w:rPr>
        <w:t xml:space="preserve">①投标（响应）报价低于采购项目预算50%的，即投标（响应）报价&lt;采购项目预算×50%；</w:t>
      </w:r>
      <w:r/>
    </w:p>
    <w:p>
      <w:pPr>
        <w:ind w:firstLine="482"/>
        <w:spacing w:line="360" w:lineRule="auto"/>
        <w:rPr>
          <w:rFonts w:hint="eastAsia" w:asciiTheme="minorEastAsia" w:hAnsiTheme="minorEastAsia" w:eastAsiaTheme="minorEastAsia" w:cstheme="minorEastAsia"/>
          <w:b/>
          <w:bCs/>
          <w:color w:val="auto"/>
          <w:sz w:val="24"/>
        </w:rPr>
      </w:pPr>
      <w:r>
        <w:rPr>
          <w:rFonts w:hint="eastAsia" w:asciiTheme="minorEastAsia" w:hAnsiTheme="minorEastAsia" w:eastAsiaTheme="minorEastAsia" w:cstheme="minorEastAsia"/>
          <w:b/>
          <w:bCs/>
          <w:color w:val="auto"/>
          <w:sz w:val="24"/>
        </w:rPr>
        <w:t xml:space="preserve">②投标（响应）报价低于采购项目最高限价45%的，即投标（响应）报价&lt;采购项目最高限价×45%；</w:t>
      </w:r>
      <w:r/>
    </w:p>
    <w:p>
      <w:pPr>
        <w:ind w:firstLine="482"/>
        <w:spacing w:line="360" w:lineRule="auto"/>
        <w:rPr>
          <w:rFonts w:hint="eastAsia" w:asciiTheme="minorEastAsia" w:hAnsiTheme="minorEastAsia" w:eastAsiaTheme="minorEastAsia" w:cstheme="minorEastAsia"/>
          <w:b/>
          <w:bCs/>
          <w:color w:val="auto"/>
          <w:sz w:val="24"/>
        </w:rPr>
      </w:pPr>
      <w:r>
        <w:rPr>
          <w:rFonts w:hint="eastAsia" w:asciiTheme="minorEastAsia" w:hAnsiTheme="minorEastAsia" w:eastAsiaTheme="minorEastAsia" w:cstheme="minorEastAsia"/>
          <w:b/>
          <w:bCs/>
          <w:color w:val="auto"/>
          <w:sz w:val="24"/>
        </w:rPr>
        <w:t xml:space="preserve">③评审委员会认定的供应商报价过低、有可能影响产品质量或者不能诚信履约的其他情形。</w:t>
      </w:r>
      <w:r/>
    </w:p>
    <w:p>
      <w:pPr>
        <w:ind w:firstLine="482"/>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b/>
          <w:bCs/>
          <w:color w:val="auto"/>
          <w:sz w:val="24"/>
        </w:rPr>
        <w:t xml:space="preserve">2.启动异常低价投标（响应）</w:t>
      </w:r>
      <w:r>
        <w:rPr>
          <w:rFonts w:hint="eastAsia" w:asciiTheme="minorEastAsia" w:hAnsiTheme="minorEastAsia" w:eastAsiaTheme="minorEastAsia" w:cstheme="minorEastAsia"/>
          <w:b/>
          <w:bCs/>
          <w:color w:val="auto"/>
          <w:sz w:val="24"/>
        </w:rPr>
        <w:t xml:space="preserve">审查后，评审委员会应当通过“苏采云”系统要求相关供应商在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供应商说明应当采用通过“苏采云”系统（使用“CA数字证书”,加盖电子签章）形式。供应商不提供书面说明、证明材料，或者提供的书面说明、证明材料不能证明其报价合理性的，评审委员会应当将其作为无效投标处理。审查相关情况应当在评标报告中进行记录。</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（三十二）废标条款：</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出现下列情形之一的，应予废标：</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1.符合专业条件的供应商或者对招标文件作实质响应的供应商不足三家的；</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2.出现影响采购公正的违法、违规行为的；</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3.供应商的报价均超过了采购预算，采购人不能支付的；</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4.因重大变故，采购任务取消的。</w:t>
      </w:r>
      <w:r/>
    </w:p>
    <w:p>
      <w:pPr>
        <w:jc w:val="center"/>
        <w:spacing w:line="360" w:lineRule="auto"/>
        <w:rPr>
          <w:rFonts w:hint="eastAsia" w:asciiTheme="minorEastAsia" w:hAnsiTheme="minorEastAsia" w:eastAsiaTheme="minorEastAsia" w:cstheme="minorEastAsia"/>
          <w:b/>
          <w:bCs/>
          <w:color w:val="auto"/>
          <w:sz w:val="24"/>
        </w:rPr>
      </w:pPr>
      <w:r>
        <w:rPr>
          <w:rFonts w:hint="eastAsia" w:asciiTheme="minorEastAsia" w:hAnsiTheme="minorEastAsia" w:eastAsiaTheme="minorEastAsia" w:cstheme="minorEastAsia"/>
          <w:b/>
          <w:bCs/>
          <w:color w:val="auto"/>
          <w:sz w:val="24"/>
        </w:rPr>
        <w:t xml:space="preserve">六、定标</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（三十三）采购代理机构应当在评标结束后2个工作日内将评标报告送采购人。</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三十四）采购人应当自收到评标报告之日起5个工作日内，在评标报告确定的中标候选人名单中按顺序确定中标人。中标候选人并列的，由采购人或者采购人委托评标委员会按照招标文件规定的方式确定中标人：见招标文件第三章《投标资料表》；招标文件未规定的，服务方案得分高的为中标人，服务方案得分相同的，价格低的为中标人。</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在公告中标结果的同时，采购人或者采购代理机构应当向中标人发出中标通知书。中标通知书发出后，采购人不得违法改变中标结果，中标人无正当理由不得放弃中标。</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三十五）供应商应对投标文件的合法性、真实性负责。签订合同前，中标人必须向采购人提交其投标文件中所有复印件的原件，采购人核查无误后，签订合同。如中标人不能在采购人规定的时间内向采购人提供原件，将被采购人视为放弃中标资格，并承担相应法律责任。</w:t>
      </w:r>
      <w:r/>
    </w:p>
    <w:p>
      <w:pPr>
        <w:jc w:val="center"/>
        <w:spacing w:line="360" w:lineRule="auto"/>
        <w:rPr>
          <w:rFonts w:hint="eastAsia" w:asciiTheme="minorEastAsia" w:hAnsiTheme="minorEastAsia" w:eastAsiaTheme="minorEastAsia" w:cstheme="minorEastAsia"/>
          <w:b/>
          <w:bCs/>
          <w:color w:val="auto"/>
          <w:sz w:val="24"/>
        </w:rPr>
      </w:pPr>
      <w:r>
        <w:rPr>
          <w:rFonts w:hint="eastAsia" w:asciiTheme="minorEastAsia" w:hAnsiTheme="minorEastAsia" w:eastAsiaTheme="minorEastAsia" w:cstheme="minorEastAsia"/>
          <w:b/>
          <w:bCs/>
          <w:color w:val="auto"/>
          <w:sz w:val="24"/>
        </w:rPr>
        <w:t xml:space="preserve">七、政府采购合同</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（三十六）签订政府采购合同（合同签订方式）</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采购人不得向中标人提出任何不合理的要求作为签订合同的条件。</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（三十七）采购人与中标人应当根据合同的约定依法履行合同义务。政府采购合同的履行、违约责任和解决争议的方法等，按《中华人民共和国民法典》相关条款执行。</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（三十八）履约保证金</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1. 中标人应当在采购合同签订前，向采购人提交本文件第三章《投标资料表》中规定金额的履约保证金。</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2.如果中标人没有遵守本章（三十八）1 或本章（三十九） 的规定，采购代理机构有权取消该中标决定。在此情况下，采购人可以与排位在中标人之后第一位的中标候选人签订政府采购合同，以此类推。</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3.履约保证金退还：中标人缴纳的履约保证金，待合同标的履约完成、验收合格、合同期限结束（或服务期结束）后30日内一次性无息退还。如果中标人不履行合同约定的义务，未能完全履行合同规定的义务或其履行不符合合同的约定，招标人有权扣除履约保证金取得补偿。</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（三十九）腐败和欺诈行为</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1.采购代理机构、采购人、供应商等参与招投标的各方，均应在招标、采购、合同执行等过程中保持廉洁和最高的道德水准。</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（1）腐败和欺诈行为的含义：</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①“腐败行为”系指在招标、采购和合同执行等过程中，为了谋求私利，影响相关人员提供、给予、接受或索取有价物品，并导致损害买方、卖方、采购代理机构和他人利益的行为。</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②“欺诈行为”系指为了影响招标、采购和合同执行等过程，隐瞒事实真象，给买方、卖方、采购代理机构及他人造成损害的行为，其中包括供应商之间的串通行为。</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（2）如果被推荐的中标人有腐败和欺诈行为，将取消其中标资格。</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（3）如果供应商在任何时候，被法院及政府有关管理部门认定为有腐败和欺诈行为，采购代理机构有权拒绝其投标、取消其中标资格和撤消其已签署的合同。</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2.供应商应注意《合同通用条款》关于腐败和欺诈行为的相关规定。</w:t>
      </w:r>
      <w:r/>
    </w:p>
    <w:p>
      <w:pPr>
        <w:jc w:val="center"/>
        <w:spacing w:line="360" w:lineRule="auto"/>
        <w:rPr>
          <w:rFonts w:hint="eastAsia" w:asciiTheme="minorEastAsia" w:hAnsiTheme="minorEastAsia" w:eastAsiaTheme="minorEastAsia" w:cstheme="minorEastAsia"/>
          <w:b/>
          <w:bCs/>
          <w:color w:val="auto"/>
          <w:sz w:val="24"/>
        </w:rPr>
      </w:pPr>
      <w:r>
        <w:rPr>
          <w:rFonts w:hint="eastAsia" w:asciiTheme="minorEastAsia" w:hAnsiTheme="minorEastAsia" w:eastAsiaTheme="minorEastAsia" w:cstheme="minorEastAsia"/>
          <w:b/>
          <w:bCs/>
          <w:color w:val="auto"/>
          <w:sz w:val="24"/>
        </w:rPr>
        <w:t xml:space="preserve">八、询问和质疑</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（四十）询问和质疑</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jc w:val="center"/>
        <w:rPr>
          <w:rFonts w:hint="eastAsia" w:asciiTheme="minorEastAsia" w:hAnsiTheme="minorEastAsia" w:eastAsiaTheme="minorEastAsia" w:cstheme="minorEastAsia"/>
          <w:b/>
          <w:bCs/>
          <w:color w:val="auto"/>
          <w:sz w:val="24"/>
        </w:rPr>
      </w:pPr>
      <w:r>
        <w:rPr>
          <w:rFonts w:hint="eastAsia" w:asciiTheme="minorEastAsia" w:hAnsiTheme="minorEastAsia" w:eastAsiaTheme="minorEastAsia" w:cstheme="minorEastAsia"/>
          <w:b/>
          <w:bCs/>
          <w:color w:val="auto"/>
          <w:sz w:val="24"/>
        </w:rPr>
        <w:t xml:space="preserve">九、电子招标投标交易平台</w:t>
      </w:r>
      <w:r/>
    </w:p>
    <w:p>
      <w:pPr>
        <w:pStyle w:val="856"/>
        <w:ind w:left="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（四十一）电子招标投标交易平台（即“苏采云”系统，网址：http://jszfcg.jsczt.cn/）相关要求是本招标文件的组成部分。</w:t>
      </w:r>
      <w:r/>
    </w:p>
    <w:p>
      <w:pPr>
        <w:pStyle w:val="856"/>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numPr>
          <w:ilvl w:val="0"/>
          <w:numId w:val="1"/>
        </w:numPr>
        <w:jc w:val="center"/>
        <w:spacing w:line="360" w:lineRule="auto"/>
        <w:rPr>
          <w:rFonts w:hint="eastAsia" w:asciiTheme="minorEastAsia" w:hAnsiTheme="minorEastAsia" w:eastAsiaTheme="minorEastAsia" w:cstheme="minorEastAsia"/>
          <w:b/>
          <w:bCs/>
          <w:color w:val="auto"/>
          <w:sz w:val="32"/>
          <w:szCs w:val="32"/>
        </w:rPr>
        <w:outlineLvl w:val="0"/>
      </w:pPr>
      <w:r>
        <w:rPr>
          <w:rFonts w:hint="eastAsia" w:asciiTheme="minorEastAsia" w:hAnsiTheme="minorEastAsia" w:eastAsiaTheme="minorEastAsia" w:cstheme="minorEastAsia"/>
          <w:b/>
          <w:bCs/>
          <w:color w:val="auto"/>
          <w:sz w:val="32"/>
          <w:szCs w:val="32"/>
        </w:rPr>
        <w:t xml:space="preserve"> </w:t>
      </w:r>
      <w:bookmarkStart w:id="4" w:name="_Toc16487"/>
      <w:r/>
      <w:bookmarkStart w:id="5" w:name="_Toc18297"/>
      <w:r>
        <w:rPr>
          <w:rFonts w:hint="eastAsia" w:asciiTheme="minorEastAsia" w:hAnsiTheme="minorEastAsia" w:eastAsiaTheme="minorEastAsia" w:cstheme="minorEastAsia"/>
          <w:b/>
          <w:bCs/>
          <w:color w:val="auto"/>
          <w:sz w:val="32"/>
          <w:szCs w:val="32"/>
        </w:rPr>
        <w:t xml:space="preserve">投标资料表</w:t>
      </w:r>
      <w:bookmarkEnd w:id="4"/>
      <w:r/>
      <w:bookmarkEnd w:id="5"/>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该资料表的条款项号是与《供应商须知》中条款项号对应的，或增加的条款，是对《供应商须知》的补充、修改和完善，如果有矛盾的话，应以本资料表为准。</w:t>
      </w:r>
      <w:r/>
    </w:p>
    <w:tbl>
      <w:tblPr>
        <w:tblStyle w:val="86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15"/>
        <w:gridCol w:w="7739"/>
      </w:tblGrid>
      <w:tr>
        <w:trPr>
          <w:trHeight w:val="510"/>
        </w:trPr>
        <w:tc>
          <w:tcPr>
            <w:tcW w:w="2115" w:type="dxa"/>
            <w:vAlign w:val="center"/>
            <w:textDirection w:val="lrTb"/>
            <w:noWrap w:val="false"/>
          </w:tcPr>
          <w:p>
            <w:pPr>
              <w:jc w:val="cente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条款项号</w:t>
            </w:r>
            <w:r/>
          </w:p>
        </w:tc>
        <w:tc>
          <w:tcPr>
            <w:tcW w:w="7739" w:type="dxa"/>
            <w:vAlign w:val="center"/>
            <w:textDirection w:val="lrTb"/>
            <w:noWrap w:val="false"/>
          </w:tcPr>
          <w:p>
            <w:pPr>
              <w:jc w:val="cente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内容</w:t>
            </w:r>
            <w:r/>
          </w:p>
        </w:tc>
      </w:tr>
      <w:tr>
        <w:trPr>
          <w:trHeight w:val="510"/>
        </w:trPr>
        <w:tc>
          <w:tcPr>
            <w:tcW w:w="2115" w:type="dxa"/>
            <w:vAlign w:val="center"/>
            <w:textDirection w:val="lrTb"/>
            <w:noWrap w:val="false"/>
          </w:tcPr>
          <w:p>
            <w:pPr>
              <w:jc w:val="cente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r>
            <w:r/>
          </w:p>
        </w:tc>
        <w:tc>
          <w:tcPr>
            <w:tcW w:w="7739" w:type="dxa"/>
            <w:vAlign w:val="center"/>
            <w:textDirection w:val="lrTb"/>
            <w:noWrap w:val="false"/>
          </w:tcPr>
          <w:p>
            <w:pPr>
              <w:jc w:val="cente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b/>
                <w:bCs/>
                <w:color w:val="auto"/>
                <w:szCs w:val="21"/>
              </w:rPr>
              <w:t xml:space="preserve">一、总则</w:t>
            </w:r>
            <w:r/>
          </w:p>
        </w:tc>
      </w:tr>
      <w:tr>
        <w:trPr>
          <w:trHeight w:val="510"/>
        </w:trPr>
        <w:tc>
          <w:tcPr>
            <w:tcW w:w="2115" w:type="dxa"/>
            <w:vAlign w:val="center"/>
            <w:textDirection w:val="lrTb"/>
            <w:noWrap w:val="false"/>
          </w:tcPr>
          <w:p>
            <w:pPr>
              <w:jc w:val="cente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（一）</w:t>
            </w:r>
            <w:r/>
          </w:p>
        </w:tc>
        <w:tc>
          <w:tcPr>
            <w:tcW w:w="7739" w:type="dxa"/>
            <w:vAlign w:val="center"/>
            <w:textDirection w:val="lrTb"/>
            <w:noWrap w:val="false"/>
          </w:tcPr>
          <w:p>
            <w:pP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本项目采购人：徐州市城市管理局</w:t>
            </w:r>
            <w:r/>
          </w:p>
        </w:tc>
      </w:tr>
      <w:tr>
        <w:trPr>
          <w:trHeight w:val="510"/>
        </w:trPr>
        <w:tc>
          <w:tcPr>
            <w:tcW w:w="2115" w:type="dxa"/>
            <w:vAlign w:val="center"/>
            <w:textDirection w:val="lrTb"/>
            <w:noWrap w:val="false"/>
          </w:tcPr>
          <w:p>
            <w:pPr>
              <w:jc w:val="cente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（二）</w:t>
            </w:r>
            <w:r/>
          </w:p>
        </w:tc>
        <w:tc>
          <w:tcPr>
            <w:tcW w:w="7739" w:type="dxa"/>
            <w:vAlign w:val="center"/>
            <w:textDirection w:val="lrTb"/>
            <w:noWrap w:val="false"/>
          </w:tcPr>
          <w:p>
            <w:pP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本次采购采用的政府采购方式：公开招标</w:t>
            </w:r>
            <w:r/>
          </w:p>
        </w:tc>
      </w:tr>
      <w:tr>
        <w:trPr>
          <w:trHeight w:val="510"/>
        </w:trPr>
        <w:tc>
          <w:tcPr>
            <w:tcW w:w="2115" w:type="dxa"/>
            <w:vAlign w:val="center"/>
            <w:textDirection w:val="lrTb"/>
            <w:noWrap w:val="false"/>
          </w:tcPr>
          <w:p>
            <w:pPr>
              <w:jc w:val="cente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（三）</w:t>
            </w:r>
            <w:r/>
          </w:p>
        </w:tc>
        <w:tc>
          <w:tcPr>
            <w:tcW w:w="7739" w:type="dxa"/>
            <w:vAlign w:val="center"/>
            <w:textDirection w:val="lrTb"/>
            <w:noWrap w:val="false"/>
          </w:tcPr>
          <w:p>
            <w:pP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本项目不属于专门面向中小微企业采购的项目。</w:t>
            </w:r>
            <w:r/>
          </w:p>
        </w:tc>
      </w:tr>
      <w:tr>
        <w:trPr>
          <w:trHeight w:val="510"/>
        </w:trPr>
        <w:tc>
          <w:tcPr>
            <w:tcW w:w="2115" w:type="dxa"/>
            <w:vAlign w:val="center"/>
            <w:textDirection w:val="lrTb"/>
            <w:noWrap w:val="false"/>
          </w:tcPr>
          <w:p>
            <w:pPr>
              <w:jc w:val="cente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（四）</w:t>
            </w:r>
            <w:r/>
          </w:p>
        </w:tc>
        <w:tc>
          <w:tcPr>
            <w:tcW w:w="7739" w:type="dxa"/>
            <w:vAlign w:val="center"/>
            <w:textDirection w:val="lrTb"/>
            <w:noWrap w:val="false"/>
          </w:tcPr>
          <w:p>
            <w:pPr>
              <w:spacing w:line="360" w:lineRule="auto"/>
              <w:rPr>
                <w:rFonts w:hint="eastAsia" w:asciiTheme="minorEastAsia" w:hAnsiTheme="minorEastAsia" w:eastAsiaTheme="minorEastAsia" w:cstheme="minorEastAsia"/>
                <w:color w:val="auto"/>
                <w:szCs w:val="21"/>
                <w:lang w:eastAsia="zh-CN"/>
              </w:rPr>
            </w:pPr>
            <w:r>
              <w:rPr>
                <w:rFonts w:hint="eastAsia" w:asciiTheme="minorEastAsia" w:hAnsiTheme="minorEastAsia" w:eastAsiaTheme="minorEastAsia" w:cstheme="minorEastAsia"/>
                <w:color w:val="auto"/>
                <w:szCs w:val="21"/>
              </w:rPr>
              <w:t xml:space="preserve">采购人确定的采购项目属性：</w:t>
            </w:r>
            <w:r>
              <w:rPr>
                <w:rFonts w:hint="eastAsia" w:asciiTheme="minorEastAsia" w:hAnsiTheme="minorEastAsia" w:eastAsiaTheme="minorEastAsia" w:cstheme="minorEastAsia"/>
                <w:color w:val="auto"/>
                <w:szCs w:val="21"/>
                <w:lang w:val="en-US" w:eastAsia="zh-CN"/>
              </w:rPr>
              <w:t xml:space="preserve">货物</w:t>
            </w:r>
            <w:r/>
          </w:p>
        </w:tc>
      </w:tr>
      <w:tr>
        <w:trPr>
          <w:trHeight w:val="510"/>
        </w:trPr>
        <w:tc>
          <w:tcPr>
            <w:tcW w:w="2115" w:type="dxa"/>
            <w:vAlign w:val="center"/>
            <w:textDirection w:val="lrTb"/>
            <w:noWrap w:val="false"/>
          </w:tcPr>
          <w:p>
            <w:pPr>
              <w:jc w:val="cente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（五）</w:t>
            </w:r>
            <w:r/>
          </w:p>
        </w:tc>
        <w:tc>
          <w:tcPr>
            <w:tcW w:w="7739" w:type="dxa"/>
            <w:vAlign w:val="center"/>
            <w:textDirection w:val="lrTb"/>
            <w:noWrap w:val="false"/>
          </w:tcPr>
          <w:p>
            <w:pP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本项目采购代理机构：江苏执策建设管理有限公司</w:t>
            </w:r>
            <w:r/>
          </w:p>
        </w:tc>
      </w:tr>
      <w:tr>
        <w:trPr>
          <w:trHeight w:val="510"/>
        </w:trPr>
        <w:tc>
          <w:tcPr>
            <w:tcW w:w="2115" w:type="dxa"/>
            <w:vAlign w:val="center"/>
            <w:textDirection w:val="lrTb"/>
            <w:noWrap w:val="false"/>
          </w:tcPr>
          <w:p>
            <w:pPr>
              <w:jc w:val="cente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（六）</w:t>
            </w:r>
            <w:r/>
          </w:p>
        </w:tc>
        <w:tc>
          <w:tcPr>
            <w:tcW w:w="7739" w:type="dxa"/>
            <w:vAlign w:val="center"/>
            <w:textDirection w:val="lrTb"/>
            <w:noWrap w:val="false"/>
          </w:tcPr>
          <w:p>
            <w:pPr>
              <w:spacing w:line="360" w:lineRule="auto"/>
              <w:rPr>
                <w:rFonts w:hint="eastAsia" w:asciiTheme="minorEastAsia" w:hAnsiTheme="minorEastAsia" w:eastAsiaTheme="minorEastAsia" w:cstheme="minorEastAsia"/>
                <w:b/>
                <w:bCs/>
                <w:color w:val="auto"/>
                <w:szCs w:val="21"/>
              </w:rPr>
            </w:pPr>
            <w:r>
              <w:rPr>
                <w:rFonts w:hint="eastAsia" w:asciiTheme="minorEastAsia" w:hAnsiTheme="minorEastAsia" w:eastAsiaTheme="minorEastAsia" w:cstheme="minorEastAsia"/>
                <w:b/>
                <w:bCs/>
                <w:color w:val="auto"/>
                <w:szCs w:val="21"/>
              </w:rPr>
              <w:t xml:space="preserve">供应商的资格条件：</w:t>
            </w:r>
            <w:r/>
          </w:p>
          <w:p>
            <w:pP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一、符合《中华人民共和国政府采购法》第二十二条的规定；</w:t>
            </w:r>
            <w:r/>
          </w:p>
          <w:p>
            <w:pPr>
              <w:spacing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1.供应商合法有效的法人或者其他组织的营业执照等证明文件，自然人的身份证明；</w:t>
            </w:r>
            <w:r/>
          </w:p>
          <w:p>
            <w:pPr>
              <w:spacing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2.财务状况报告（即提供供应商的本项目开标时间前6个月内任意1个月的资产负债表、利润表各一份或提供供应商上年度财务报告或供应商的本项目开标时间前6个月内银行出具的资信证明；</w:t>
            </w:r>
            <w:r/>
          </w:p>
          <w:p>
            <w:pPr>
              <w:spacing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3.供应商的本项目开标时间前6个月内任意1个月的依法缴纳税收和社会保障资金的相关材料原件扫描件（依法免税或不需要缴纳社会保障资金的供应商,提供相应文件证明其依法免税或不需要缴纳社会保障资金）；</w:t>
            </w:r>
            <w:r/>
          </w:p>
          <w:p>
            <w:pPr>
              <w:spacing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4.具备履行合同所必需的设备和专业技术能力的证明材料《具备履行合同所必需的设备和专业技术能力的书面声明》；</w:t>
            </w:r>
            <w:r/>
          </w:p>
          <w:p>
            <w:pPr>
              <w:spacing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5.参加政府采购活动前3年内在经营活动中没有重大违法记录的书面声明；</w:t>
            </w:r>
            <w:r/>
          </w:p>
          <w:p>
            <w:pPr>
              <w:spacing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6.未被“信用中国”网站（www.creditchina.gov.cn）列入失信被执行人、重大税收违法案件当事人名单、政府采购严重失信行为记录名单。</w:t>
            </w:r>
            <w:r/>
          </w:p>
          <w:p>
            <w:pP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二、本项目不属于专门面向中小微企业采购的项目。</w:t>
            </w:r>
            <w:r/>
          </w:p>
          <w:p>
            <w:pPr>
              <w:spacing w:line="360" w:lineRule="auto"/>
              <w:rPr>
                <w:rFonts w:hint="eastAsia" w:asciiTheme="minorEastAsia" w:hAnsiTheme="minorEastAsia" w:eastAsiaTheme="minorEastAsia" w:cstheme="minorEastAsia"/>
                <w:b/>
                <w:bCs/>
                <w:color w:val="auto"/>
                <w:szCs w:val="21"/>
              </w:rPr>
            </w:pPr>
            <w:r>
              <w:rPr>
                <w:rFonts w:hint="eastAsia" w:asciiTheme="minorEastAsia" w:hAnsiTheme="minorEastAsia" w:eastAsiaTheme="minorEastAsia" w:cstheme="minorEastAsia"/>
                <w:b/>
                <w:bCs/>
                <w:color w:val="auto"/>
                <w:szCs w:val="21"/>
              </w:rPr>
              <w:t xml:space="preserve">三、本项目的特定资格要求：</w:t>
            </w:r>
            <w:r/>
          </w:p>
          <w:p>
            <w:pPr>
              <w:spacing w:line="360" w:lineRule="auto"/>
              <w:rPr>
                <w:rFonts w:hint="eastAsia" w:asciiTheme="minorEastAsia" w:hAnsiTheme="minorEastAsia" w:eastAsiaTheme="minorEastAsia" w:cstheme="minorEastAsia"/>
                <w:color w:val="auto"/>
                <w:szCs w:val="21"/>
                <w:lang w:eastAsia="zh-CN"/>
              </w:rPr>
            </w:pPr>
            <w:r>
              <w:rPr>
                <w:rFonts w:hint="eastAsia" w:asciiTheme="minorEastAsia" w:hAnsiTheme="minorEastAsia" w:eastAsiaTheme="minorEastAsia" w:cstheme="minorEastAsia"/>
                <w:color w:val="auto"/>
                <w:szCs w:val="21"/>
              </w:rPr>
              <w:t xml:space="preserve">1.供应商必须具备交通运输行政主管部门核发的有效的公路工程试验检测综合类甲级资质或公路工程试验检测桥梁隧道工程专项检测资质</w:t>
            </w:r>
            <w:r>
              <w:rPr>
                <w:rFonts w:hint="eastAsia" w:asciiTheme="minorEastAsia" w:hAnsiTheme="minorEastAsia" w:eastAsiaTheme="minorEastAsia" w:cstheme="minorEastAsia"/>
                <w:color w:val="auto"/>
                <w:szCs w:val="21"/>
                <w:lang w:eastAsia="zh-CN"/>
              </w:rPr>
              <w:t xml:space="preserve">；</w:t>
            </w:r>
            <w:r/>
          </w:p>
          <w:p>
            <w:pP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2.供应商具有省级及以上计量行政部门颁发的有效的计量认证证书或资质认定证书。</w:t>
            </w:r>
            <w:r/>
          </w:p>
          <w:p>
            <w:pP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同时明确相关事项如下：</w:t>
            </w:r>
            <w:r/>
          </w:p>
          <w:p>
            <w:pP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1、本项目不接受联合体参与采购活动。</w:t>
            </w:r>
            <w:r/>
          </w:p>
          <w:p>
            <w:pP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2、单位负责人为同一人或者存在实际控制、直接控股、管理关系的不同供应商，不得参加同一合同项下的政府采购活动。</w:t>
            </w:r>
            <w:r/>
          </w:p>
          <w:p>
            <w:pP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3、为本采购项目提供整体设计、规范编制或者项目管理、监理、检测等服务的供应商，不得再参加本采购项目的采购活动。</w:t>
            </w:r>
            <w:r/>
          </w:p>
          <w:p>
            <w:pP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4、查询及使用供应商信用记录：</w:t>
            </w:r>
            <w:r/>
          </w:p>
          <w:p>
            <w:pP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⑴由采购人查询信用信息。</w:t>
            </w:r>
            <w:r/>
          </w:p>
          <w:p>
            <w:pP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⑵查询渠道包括：</w:t>
            </w:r>
            <w:r/>
          </w:p>
          <w:p>
            <w:pP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①“信用中国”网（www.creditchina.gov.cn）；</w:t>
            </w:r>
            <w:r/>
          </w:p>
          <w:p>
            <w:pP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②中国政府采购网（www.ccgp.gov.cn）；</w:t>
            </w:r>
            <w:r/>
          </w:p>
          <w:p>
            <w:pP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③“信用江苏”网（http://credit.jiangsu.gov.cn/）；</w:t>
            </w:r>
            <w:r/>
          </w:p>
          <w:p>
            <w:pP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④“信用中国（江苏徐州）”网（</w:t>
            </w:r>
            <w:r>
              <w:rPr>
                <w:color w:val="auto"/>
              </w:rPr>
              <w:fldChar w:fldCharType="begin"/>
            </w:r>
            <w:r>
              <w:rPr>
                <w:color w:val="auto"/>
              </w:rPr>
              <w:instrText xml:space="preserve"> HYPERLINK "http://www.xuzhoucredit.gov.cn）。" </w:instrText>
            </w:r>
            <w:r>
              <w:rPr>
                <w:color w:val="auto"/>
              </w:rPr>
              <w:fldChar w:fldCharType="separate"/>
            </w:r>
            <w:r>
              <w:rPr>
                <w:rStyle w:val="863"/>
                <w:rFonts w:hint="eastAsia" w:asciiTheme="minorEastAsia" w:hAnsiTheme="minorEastAsia" w:eastAsiaTheme="minorEastAsia" w:cstheme="minorEastAsia"/>
                <w:color w:val="auto"/>
                <w:szCs w:val="21"/>
                <w:u w:val="none"/>
              </w:rPr>
              <w:t xml:space="preserve">http://www.xuzhoucredit.gov.cn）。</w:t>
            </w:r>
            <w:r>
              <w:rPr>
                <w:rStyle w:val="863"/>
                <w:rFonts w:hint="eastAsia" w:asciiTheme="minorEastAsia" w:hAnsiTheme="minorEastAsia" w:eastAsiaTheme="minorEastAsia" w:cstheme="minorEastAsia"/>
                <w:color w:val="auto"/>
                <w:szCs w:val="21"/>
                <w:u w:val="none"/>
              </w:rPr>
              <w:fldChar w:fldCharType="end"/>
            </w:r>
            <w:r/>
          </w:p>
          <w:p>
            <w:pP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⑶截止时点（查询环节）：资格审查结束前。</w:t>
            </w:r>
            <w:r/>
          </w:p>
          <w:p>
            <w:pP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⑷信用信息查询记录和证据留存的具体方式：</w:t>
            </w:r>
            <w:r/>
          </w:p>
          <w:p>
            <w:pP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网页截屏打印，与其他采购文件一并保存。</w:t>
            </w:r>
            <w:r/>
          </w:p>
          <w:p>
            <w:pP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⑸信用信息的使用规则：</w:t>
            </w:r>
            <w:r/>
          </w:p>
          <w:p>
            <w:pP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供应商信用评价结果参考期限从项目开标之日前三年起算，具体按照《江苏省政府采购信用管理暂行办法》（苏财规[2018]18号）执行。</w:t>
            </w:r>
            <w:r/>
          </w:p>
        </w:tc>
      </w:tr>
      <w:tr>
        <w:trPr>
          <w:trHeight w:val="510"/>
        </w:trPr>
        <w:tc>
          <w:tcPr>
            <w:tcW w:w="2115" w:type="dxa"/>
            <w:vAlign w:val="center"/>
            <w:textDirection w:val="lrTb"/>
            <w:noWrap w:val="false"/>
          </w:tcPr>
          <w:p>
            <w:pPr>
              <w:jc w:val="cente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（七）</w:t>
            </w:r>
            <w:r/>
          </w:p>
        </w:tc>
        <w:tc>
          <w:tcPr>
            <w:tcW w:w="7739" w:type="dxa"/>
            <w:vAlign w:val="center"/>
            <w:textDirection w:val="lrTb"/>
            <w:noWrap w:val="false"/>
          </w:tcPr>
          <w:p>
            <w:pP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r>
            <w:r>
              <w:rPr>
                <w:rFonts w:hint="eastAsia" w:asciiTheme="minorEastAsia" w:hAnsiTheme="minorEastAsia" w:eastAsiaTheme="minorEastAsia" w:cstheme="minorEastAsia"/>
                <w:color w:val="auto"/>
                <w:szCs w:val="21"/>
              </w:rPr>
              <w:t xml:space="preserve">招标代理服务费由中标人支付，</w:t>
            </w:r>
            <w:r>
              <w:t xml:space="preserve">收费标准参照徐州市政府采购协会2024年12月12日发布的《关于发布我市政府采购代理服务行业收费指导价格的通知》。</w:t>
            </w:r>
            <w:r/>
          </w:p>
        </w:tc>
      </w:tr>
      <w:tr>
        <w:trPr>
          <w:trHeight w:val="510"/>
        </w:trPr>
        <w:tc>
          <w:tcPr>
            <w:tcW w:w="2115" w:type="dxa"/>
            <w:vAlign w:val="center"/>
            <w:textDirection w:val="lrTb"/>
            <w:noWrap w:val="false"/>
          </w:tcPr>
          <w:p>
            <w:pPr>
              <w:jc w:val="cente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r>
            <w:r/>
          </w:p>
        </w:tc>
        <w:tc>
          <w:tcPr>
            <w:tcW w:w="7739" w:type="dxa"/>
            <w:vAlign w:val="center"/>
            <w:textDirection w:val="lrTb"/>
            <w:noWrap w:val="false"/>
          </w:tcPr>
          <w:p>
            <w:pPr>
              <w:jc w:val="cente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b/>
                <w:bCs/>
                <w:color w:val="auto"/>
                <w:szCs w:val="21"/>
              </w:rPr>
              <w:t xml:space="preserve">二、招标</w:t>
            </w:r>
            <w:r/>
          </w:p>
        </w:tc>
      </w:tr>
      <w:tr>
        <w:trPr>
          <w:trHeight w:val="510"/>
        </w:trPr>
        <w:tc>
          <w:tcPr>
            <w:tcW w:w="2115" w:type="dxa"/>
            <w:vAlign w:val="center"/>
            <w:textDirection w:val="lrTb"/>
            <w:noWrap w:val="false"/>
          </w:tcPr>
          <w:p>
            <w:pPr>
              <w:jc w:val="cente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（八）3</w:t>
            </w:r>
            <w:r/>
          </w:p>
        </w:tc>
        <w:tc>
          <w:tcPr>
            <w:tcW w:w="7739" w:type="dxa"/>
            <w:vAlign w:val="center"/>
            <w:textDirection w:val="lrTb"/>
            <w:noWrap w:val="false"/>
          </w:tcPr>
          <w:p>
            <w:pP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样品要求：本项目无需提供样品</w:t>
            </w:r>
            <w:r/>
          </w:p>
        </w:tc>
      </w:tr>
      <w:tr>
        <w:trPr>
          <w:trHeight w:val="510"/>
        </w:trPr>
        <w:tc>
          <w:tcPr>
            <w:tcW w:w="2115" w:type="dxa"/>
            <w:vAlign w:val="center"/>
            <w:textDirection w:val="lrTb"/>
            <w:noWrap w:val="false"/>
          </w:tcPr>
          <w:p>
            <w:pPr>
              <w:jc w:val="cente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（九）1</w:t>
            </w:r>
            <w:r/>
          </w:p>
        </w:tc>
        <w:tc>
          <w:tcPr>
            <w:tcW w:w="7739" w:type="dxa"/>
            <w:vAlign w:val="center"/>
            <w:textDirection w:val="lrTb"/>
            <w:noWrap w:val="false"/>
          </w:tcPr>
          <w:p>
            <w:pP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采购代理机构可以对已发出的招标文件进行必要的澄清或者修改。澄清或者修改的内容以所发布的本项目的“更正公告”的附件的形式通知所有获取招标文件的潜在供应商。发布本项目的“更正公告”后采购代理机构已尽通知义务。敬请各潜在供应商关注本项目的“更正公告”及附件，否则，将自行承担相应的风险。</w:t>
            </w:r>
            <w:r/>
          </w:p>
        </w:tc>
      </w:tr>
      <w:tr>
        <w:trPr>
          <w:trHeight w:val="510"/>
        </w:trPr>
        <w:tc>
          <w:tcPr>
            <w:tcW w:w="2115" w:type="dxa"/>
            <w:vAlign w:val="center"/>
            <w:textDirection w:val="lrTb"/>
            <w:noWrap w:val="false"/>
          </w:tcPr>
          <w:p>
            <w:pPr>
              <w:jc w:val="cente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（九）2</w:t>
            </w:r>
            <w:r/>
          </w:p>
        </w:tc>
        <w:tc>
          <w:tcPr>
            <w:tcW w:w="7739" w:type="dxa"/>
            <w:vAlign w:val="center"/>
            <w:textDirection w:val="lrTb"/>
            <w:noWrap w:val="false"/>
          </w:tcPr>
          <w:p>
            <w:pP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不安排现场考察。</w:t>
            </w:r>
            <w:r/>
          </w:p>
        </w:tc>
      </w:tr>
      <w:tr>
        <w:trPr>
          <w:trHeight w:val="510"/>
        </w:trPr>
        <w:tc>
          <w:tcPr>
            <w:tcW w:w="2115" w:type="dxa"/>
            <w:vAlign w:val="center"/>
            <w:textDirection w:val="lrTb"/>
            <w:noWrap w:val="false"/>
          </w:tcPr>
          <w:p>
            <w:pPr>
              <w:jc w:val="cente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（九）3</w:t>
            </w:r>
            <w:r/>
          </w:p>
        </w:tc>
        <w:tc>
          <w:tcPr>
            <w:tcW w:w="7739" w:type="dxa"/>
            <w:vAlign w:val="center"/>
            <w:textDirection w:val="lrTb"/>
            <w:noWrap w:val="false"/>
          </w:tcPr>
          <w:p>
            <w:pP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不安排开标前答疑会。</w:t>
            </w:r>
            <w:r/>
          </w:p>
        </w:tc>
      </w:tr>
      <w:tr>
        <w:trPr>
          <w:trHeight w:val="510"/>
        </w:trPr>
        <w:tc>
          <w:tcPr>
            <w:tcW w:w="2115" w:type="dxa"/>
            <w:vAlign w:val="center"/>
            <w:textDirection w:val="lrTb"/>
            <w:noWrap w:val="false"/>
          </w:tcPr>
          <w:p>
            <w:pPr>
              <w:jc w:val="cente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r>
            <w:r/>
          </w:p>
        </w:tc>
        <w:tc>
          <w:tcPr>
            <w:tcW w:w="7739" w:type="dxa"/>
            <w:vAlign w:val="center"/>
            <w:textDirection w:val="lrTb"/>
            <w:noWrap w:val="false"/>
          </w:tcPr>
          <w:p>
            <w:pPr>
              <w:jc w:val="cente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b/>
                <w:bCs/>
                <w:color w:val="auto"/>
                <w:szCs w:val="21"/>
              </w:rPr>
              <w:t xml:space="preserve">三、投标</w:t>
            </w:r>
            <w:r/>
          </w:p>
        </w:tc>
      </w:tr>
      <w:tr>
        <w:trPr>
          <w:trHeight w:val="510"/>
        </w:trPr>
        <w:tc>
          <w:tcPr>
            <w:tcW w:w="2115" w:type="dxa"/>
            <w:vAlign w:val="center"/>
            <w:textDirection w:val="lrTb"/>
            <w:noWrap w:val="false"/>
          </w:tcPr>
          <w:p>
            <w:pPr>
              <w:jc w:val="cente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（十一）</w:t>
            </w:r>
            <w:r/>
          </w:p>
        </w:tc>
        <w:tc>
          <w:tcPr>
            <w:tcW w:w="7739" w:type="dxa"/>
            <w:vAlign w:val="center"/>
            <w:textDirection w:val="lrTb"/>
            <w:noWrap w:val="false"/>
          </w:tcPr>
          <w:p>
            <w:pP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投标文件的语言为中文</w:t>
            </w:r>
            <w:r/>
          </w:p>
        </w:tc>
      </w:tr>
      <w:tr>
        <w:trPr>
          <w:trHeight w:val="510"/>
        </w:trPr>
        <w:tc>
          <w:tcPr>
            <w:tcW w:w="2115" w:type="dxa"/>
            <w:vAlign w:val="center"/>
            <w:textDirection w:val="lrTb"/>
            <w:noWrap w:val="false"/>
          </w:tcPr>
          <w:p>
            <w:pPr>
              <w:jc w:val="cente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（十二）1</w:t>
            </w:r>
            <w:r/>
          </w:p>
          <w:p>
            <w:pPr>
              <w:jc w:val="cente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（十二）2</w:t>
            </w:r>
            <w:r/>
          </w:p>
        </w:tc>
        <w:tc>
          <w:tcPr>
            <w:tcW w:w="7739" w:type="dxa"/>
            <w:vAlign w:val="center"/>
            <w:textDirection w:val="lrTb"/>
            <w:noWrap w:val="false"/>
          </w:tcPr>
          <w:p>
            <w:pP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线上投标文件编制要求：</w:t>
            </w:r>
            <w:r/>
          </w:p>
          <w:p>
            <w:pP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请按照以下要求（包括但不限于以下要求）制作：</w:t>
            </w:r>
            <w:r/>
          </w:p>
          <w:p>
            <w:pPr>
              <w:spacing w:line="360" w:lineRule="auto"/>
              <w:rPr>
                <w:rFonts w:hint="eastAsia" w:asciiTheme="minorEastAsia" w:hAnsiTheme="minorEastAsia" w:eastAsiaTheme="minorEastAsia" w:cstheme="minorEastAsia"/>
                <w:b/>
                <w:bCs/>
                <w:color w:val="auto"/>
              </w:rPr>
            </w:pPr>
            <w:r>
              <w:rPr>
                <w:rFonts w:hint="eastAsia" w:asciiTheme="minorEastAsia" w:hAnsiTheme="minorEastAsia" w:eastAsiaTheme="minorEastAsia" w:cstheme="minorEastAsia"/>
                <w:b/>
                <w:bCs/>
                <w:color w:val="auto"/>
              </w:rPr>
              <w:t xml:space="preserve">一、基本目录</w:t>
            </w:r>
            <w:r/>
          </w:p>
          <w:p>
            <w:pPr>
              <w:spacing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1、《投标函》。要求加盖电子签章，格式见本文件第七章《投标文件相关格式》（必须提供，否则在符合性审查时按照投标无效处理）。</w:t>
            </w:r>
            <w:r/>
          </w:p>
          <w:p>
            <w:pPr>
              <w:spacing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2、《授权委托书》。要求加盖电子签章，格式见本文件第七章《投标文件相关格式》（必须提供，否则在符合性审查时按照投标无效处理）。</w:t>
            </w:r>
            <w:r/>
          </w:p>
          <w:p>
            <w:pPr>
              <w:spacing w:line="360" w:lineRule="auto"/>
              <w:rPr>
                <w:rFonts w:hint="eastAsia" w:asciiTheme="minorEastAsia" w:hAnsiTheme="minorEastAsia" w:eastAsiaTheme="minorEastAsia" w:cstheme="minorEastAsia"/>
                <w:b/>
                <w:bCs/>
                <w:color w:val="auto"/>
              </w:rPr>
            </w:pPr>
            <w:r>
              <w:rPr>
                <w:rFonts w:hint="eastAsia" w:asciiTheme="minorEastAsia" w:hAnsiTheme="minorEastAsia" w:eastAsiaTheme="minorEastAsia" w:cstheme="minorEastAsia"/>
                <w:b/>
                <w:bCs/>
                <w:color w:val="auto"/>
              </w:rPr>
              <w:t xml:space="preserve">二、资格条件（1-7 必须提供，否则投标将被拒绝）</w:t>
            </w:r>
            <w:r/>
          </w:p>
          <w:p>
            <w:pPr>
              <w:spacing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1、投标人合法有效的法人或者其他组织的营业执照等证明文件，自然人的身份证明，以上证明文件提供原件的扫描件。</w:t>
            </w:r>
            <w:r/>
          </w:p>
          <w:p>
            <w:pPr>
              <w:spacing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2、财务状况报告（即提供投标人的本项目开标时间前 6 个月内任何时间的资产负债表、利润表扫描件各一份；或提供投标人上年度财务报告扫描件一份；或投标人的本项目开标时间前 6 个月内银行出具的资信证明扫描件一份）；</w:t>
            </w:r>
            <w:r/>
          </w:p>
          <w:p>
            <w:pPr>
              <w:spacing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3、投标人的本项目开标时间前 6 个月内任何 1 个月的依法缴纳税收扫描件和社会保障资金扫描件的相关材料（依法免税或不需要缴纳社会保障资金的供应商,提供相应文件扫描件证明其依法免税或不需要缴纳社会保障资金)；</w:t>
            </w:r>
            <w:r/>
          </w:p>
          <w:p>
            <w:pPr>
              <w:spacing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4、具备履行合同所必需的设备和专业技术能力的证明材料。即投标文件中提供《具备履行合同所必需的设备和专业技术能力的书面声明（附证明材料扫描件）》（加盖电子签章，格式见招标文件第七章《投标文件相关格式》。</w:t>
            </w:r>
            <w:r/>
          </w:p>
          <w:p>
            <w:pPr>
              <w:spacing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5、投标人参加政府采购活动前 3 年内在经营活动中没有重大违法记录的书面声明，加盖电子签章，格式见本文件第七章《投标文件相关格式》；</w:t>
            </w:r>
            <w:r/>
          </w:p>
          <w:p>
            <w:pPr>
              <w:spacing w:line="360" w:lineRule="auto"/>
              <w:rPr>
                <w:rFonts w:hint="eastAsia" w:asciiTheme="minorEastAsia" w:hAnsiTheme="minorEastAsia" w:eastAsiaTheme="minorEastAsia" w:cstheme="minorEastAsia"/>
                <w:b/>
                <w:bCs/>
                <w:color w:val="auto"/>
              </w:rPr>
            </w:pPr>
            <w:r>
              <w:rPr>
                <w:rFonts w:hint="eastAsia" w:asciiTheme="minorEastAsia" w:hAnsiTheme="minorEastAsia" w:eastAsiaTheme="minorEastAsia" w:cstheme="minorEastAsia"/>
                <w:b/>
                <w:bCs/>
                <w:color w:val="auto"/>
              </w:rPr>
              <w:t xml:space="preserve">6、本项目特定资格要求（提供下列证书原件扫描件）：</w:t>
            </w:r>
            <w:r/>
          </w:p>
          <w:p>
            <w:pPr>
              <w:spacing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① 供应商必须具备交通运输行政主管部门核发的有效的公路工程试验检测综合类甲级资质或公路工程试验检测桥梁隧道工程专项检测资质;</w:t>
            </w:r>
            <w:r/>
          </w:p>
          <w:p>
            <w:pPr>
              <w:spacing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② 供应商具有省级及以上计量行政部门颁发的有效的计量认证证书或资质认定证书。</w:t>
            </w:r>
            <w:r/>
          </w:p>
          <w:p>
            <w:pPr>
              <w:spacing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7.投标人为中小企业（含中型、小型、微型企业，下同）的，提供《中小企业声明函》（加盖电子签章，格式见招标文件第七章《投标文件相关格式》）（必须提供，如提供请填写完整）。《中小企业声明函》查询渠道参考工业和信息化部发布的中小企业规模自测小程序。</w:t>
            </w:r>
            <w:r/>
          </w:p>
          <w:p>
            <w:pPr>
              <w:spacing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注：中小企业（含中型、小型、微型企业，下同），应当同时符合以下条件：</w:t>
            </w:r>
            <w:r/>
          </w:p>
          <w:p>
            <w:pPr>
              <w:spacing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① 符合中小企业划分标准；</w:t>
            </w:r>
            <w:r/>
          </w:p>
          <w:p>
            <w:pPr>
              <w:spacing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② 提供本企业制造的货物、承担的工程或者服务，或者提供其他中小企业制造的货物。本项所称货物不包括使用大型企业注册商标的货物。</w:t>
            </w:r>
            <w:r/>
          </w:p>
          <w:p>
            <w:pPr>
              <w:spacing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小型、微型企业提供中型企业制造的货物的，视同为中型企业。</w:t>
            </w:r>
            <w:r/>
          </w:p>
          <w:p>
            <w:pPr>
              <w:spacing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具体以《政府采购促进中小企业发展管理办法》（财库[2020]46号）和《工业和信息化部、国家统计局、国家发展和改革委员会、财政部关于印发中小企业划型标准规定的通知》（工信部联企业[2011]300 号）的规定为准。</w:t>
            </w:r>
            <w:r/>
          </w:p>
          <w:p>
            <w:pPr>
              <w:spacing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投标人为监狱企业的，提供省级以上监狱管理局、戒毒管理局（含新疆生产建设兵团）出具的属于监狱企业的证明文件原件扫描件。具体以《财政部 司法部关于政府采购支持监狱企业发展有关问题的通知》（财库〔2014〕68 号）的规定为准。</w:t>
            </w:r>
            <w:r/>
          </w:p>
          <w:p>
            <w:pPr>
              <w:spacing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投标人为享受政府采购支持政策的残疾人福利性单位的，提供《残疾人福利性单位声明函》（加盖电子签章，格式见招标文件第七章《投标文件相关格式》）。</w:t>
            </w:r>
            <w:r/>
          </w:p>
          <w:p>
            <w:pPr>
              <w:spacing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享受政府采购支持政策的残疾人福利性单位应当同时满足以下条件：</w:t>
            </w:r>
            <w:r/>
          </w:p>
          <w:p>
            <w:pPr>
              <w:spacing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（一）安置的残疾人占本单位在职职工人数的比例不低于 25%（含 25%），并且安置的残疾人人数不少于 10 人（含 10 人）；</w:t>
            </w:r>
            <w:r/>
          </w:p>
          <w:p>
            <w:pPr>
              <w:spacing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（二）依法与安置的每位残疾人签订了一年以上（含一年）的劳动合同或服务协议；</w:t>
            </w:r>
            <w:r/>
          </w:p>
          <w:p>
            <w:pPr>
              <w:spacing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（三）为安置的每位残疾人按月足额缴纳了基本养老保险、基本医疗保险、失业保险、工伤保险和生育保险等社会保险费；</w:t>
            </w:r>
            <w:r/>
          </w:p>
          <w:p>
            <w:pPr>
              <w:spacing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（四）通过银行等金融机构向安置的每位残疾人，按月支付了不低于单位所在区县适用的经省级人民政府批准的月最低工资标准的工资；</w:t>
            </w:r>
            <w:r/>
          </w:p>
          <w:p>
            <w:pPr>
              <w:spacing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（五）提供本单位制造的货物、承担的工程或者服务（以下简称产品），或者提供其他残疾人福利性单位制造的货物（不包括使用非残疾人福利性单位注册商标的货物）。</w:t>
            </w:r>
            <w:r/>
          </w:p>
          <w:p>
            <w:pPr>
              <w:spacing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前款所称残疾人是指法定劳动年龄内，持有《中华人民共和国残疾人证》或者《中华人民共和国残疾军人证（1 至 8 级）》的自然人，包括具有劳动条件和劳动意愿的精神残疾人。在职职工人数是指与残疾人福利性单位建立劳动关系并依法签订劳动合同或者服务协议的雇员人数。</w:t>
            </w:r>
            <w:r/>
          </w:p>
          <w:p>
            <w:pPr>
              <w:spacing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具体以《三部门联合发布关于促进残疾人就业政府采购政策的通知》（财库〔2017〕141 号）规定为准。</w:t>
            </w:r>
            <w:r/>
          </w:p>
          <w:p>
            <w:pPr>
              <w:spacing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三、符合条件（必须提供，否则投标无效）</w:t>
            </w:r>
            <w:r/>
          </w:p>
          <w:p>
            <w:pPr>
              <w:spacing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(一)报价</w:t>
            </w:r>
            <w:r/>
          </w:p>
          <w:p>
            <w:pPr>
              <w:spacing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1、《开标一览表》。要求加盖电子签章，格式见本文件第七章《投标文件相关格式》（必须提供，否则在符合性审查时按照投标无效处理）。</w:t>
            </w:r>
            <w:r/>
          </w:p>
          <w:p>
            <w:pPr>
              <w:spacing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2、《分项价格表》。要求加盖电子签章，格式见本文件第七章《投标文件相关格式》（必须提供，否则在符合性审查时按照投标无效处理）。</w:t>
            </w:r>
            <w:r/>
          </w:p>
          <w:p>
            <w:pPr>
              <w:spacing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（二）商务资信</w:t>
            </w:r>
            <w:r/>
          </w:p>
          <w:p>
            <w:pPr>
              <w:spacing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1.《投标函》（加盖电子签章，格式见招标文件第七章《投标文件相关格式》。）</w:t>
            </w:r>
            <w:r/>
          </w:p>
          <w:p>
            <w:pPr>
              <w:spacing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2.《授权委托书》（加盖电子签章，格式见招标文件第七章《投标文件相关格式》。）</w:t>
            </w:r>
            <w:r/>
          </w:p>
          <w:p>
            <w:pPr>
              <w:spacing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（三）技术响应</w:t>
            </w:r>
            <w:r/>
          </w:p>
          <w:p>
            <w:pPr>
              <w:spacing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1.《偏离表》（加盖电子签章，格式见招标文件第七章《投标文件相关格式》。）</w:t>
            </w:r>
            <w:r/>
          </w:p>
          <w:p>
            <w:pPr>
              <w:spacing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四、综合评审评分项</w:t>
            </w:r>
            <w:r/>
          </w:p>
          <w:p>
            <w:pPr>
              <w:spacing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（一）商务部分</w:t>
            </w:r>
            <w:r/>
          </w:p>
          <w:p>
            <w:pPr>
              <w:spacing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1、拟派项目负责人（要求见本文件第四章《评标标准》中《评分细则》）；</w:t>
            </w:r>
            <w:r/>
          </w:p>
          <w:p>
            <w:pPr>
              <w:spacing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2、技术负责人（要求见本文件第四章《评标标准》中《评分细则》）；</w:t>
            </w:r>
            <w:r/>
          </w:p>
          <w:p>
            <w:pPr>
              <w:spacing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3、企业业绩（要求见本文件第四章《评标标准》中《评分细则》）；</w:t>
            </w:r>
            <w:r/>
          </w:p>
          <w:p>
            <w:pPr>
              <w:spacing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4、投标人评价（要求见本文件第四章《评标标准》中《评分细则》）。</w:t>
            </w:r>
            <w:r/>
          </w:p>
          <w:p>
            <w:pPr>
              <w:spacing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5.评分细则中评分得分需提供的相关证明文件扫描件。</w:t>
            </w:r>
            <w:r/>
          </w:p>
          <w:p>
            <w:pPr>
              <w:spacing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（二）技术部分</w:t>
            </w:r>
            <w:r/>
          </w:p>
          <w:p>
            <w:pPr>
              <w:spacing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1、项目实施方案（要求见本文件第四章《评标标准》中《评分细则》）；</w:t>
            </w:r>
            <w:r/>
          </w:p>
          <w:p>
            <w:pPr>
              <w:spacing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2、监测工作的程序与方法（要求见本文件第四章《评标标准》中《评分细则》）；</w:t>
            </w:r>
            <w:r/>
          </w:p>
          <w:p>
            <w:pPr>
              <w:spacing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3、监测工作服务目标及保证措施（要求见本文件第四章《评标标准》中《评分细则》）；</w:t>
            </w:r>
            <w:r/>
          </w:p>
          <w:p>
            <w:pPr>
              <w:spacing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4、本项目的重点和难点分析及对策措施（要求见本文件第四章《评标标准》中《评分细则》）</w:t>
            </w:r>
            <w:r/>
          </w:p>
          <w:p>
            <w:pPr>
              <w:spacing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5、合理化建议（要求见本文件第四章《评标标准》中《评分细则》）</w:t>
            </w:r>
            <w:r/>
          </w:p>
          <w:p>
            <w:pPr>
              <w:spacing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6、投标人认为需要提供的其它证明文件。</w:t>
            </w:r>
            <w:r/>
          </w:p>
          <w:p>
            <w:pPr>
              <w:spacing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五、价格折扣文件格式。</w:t>
            </w:r>
            <w:r/>
          </w:p>
          <w:p>
            <w:pPr>
              <w:spacing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提供的货物全部由符合政策要求的中小企业制造，提供《中小企业声明函》（填写完整，加盖电子签章，格式见招标文件第七章《投标文件相关格式》如不填写完整，视为无效）。</w:t>
            </w:r>
            <w:r/>
          </w:p>
          <w:p>
            <w:pPr>
              <w:spacing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注：具体以《政府采购促进中小企业发展管理办法》（财库[2020]46 号）和《关于印发中小企业划型标准规定的通知》（工信部联企业[2011]300 号）的规定为准。</w:t>
            </w:r>
            <w:r/>
          </w:p>
          <w:p>
            <w:pPr>
              <w:spacing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注：监狱企业和残疾人福利性单位等同于小微企业。</w:t>
            </w:r>
            <w:r/>
          </w:p>
          <w:p>
            <w:pPr>
              <w:spacing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投标人为监狱企业的，提供省级以上监狱管理局、戒毒管理局（含新疆生产建设兵团）出具的属于监狱企业的证明文件原件的扫描件。</w:t>
            </w:r>
            <w:r/>
          </w:p>
          <w:p>
            <w:pPr>
              <w:spacing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具体以《财政部 司法部关于政府采购支持监狱企业发展有关问题的通知》（财库〔2014〕68 号）的规定为准。</w:t>
            </w:r>
            <w:r/>
          </w:p>
          <w:p>
            <w:pPr>
              <w:spacing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投标人为享受政府采购支持政策的残疾人福利性单位的，提供《残疾人福利性单位声明函》（加盖电子签章，格式见招标文件第七章《投标文件相关格式》）。</w:t>
            </w:r>
            <w:r/>
          </w:p>
          <w:p>
            <w:pPr>
              <w:spacing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享受政府采购支持政策的残疾人福利性单位应当同时满足以下条件：</w:t>
            </w:r>
            <w:r/>
          </w:p>
          <w:p>
            <w:pPr>
              <w:spacing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①安置的残疾人占本单位在职职工人数的比例不低于 25%（含25%），并且安置的残疾人人数不少于 10 人（含 10 人）；</w:t>
            </w:r>
            <w:r/>
          </w:p>
          <w:p>
            <w:pPr>
              <w:spacing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②依法与安置的每位残疾人签订了一年以上（含一年）的劳动合同或服务协议；</w:t>
            </w:r>
            <w:r/>
          </w:p>
          <w:p>
            <w:pPr>
              <w:spacing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③为安置的每位残疾人按月足额缴纳了基本养老保险、基本医疗保险、失业保险、工伤保险和生育保险等社会保险费；</w:t>
            </w:r>
            <w:r/>
          </w:p>
          <w:p>
            <w:pPr>
              <w:spacing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④通过银行等金融机构向安置的每位残疾人，按月支付了不低于单位所在区县适用的经省级人民政府批准的月最低工资标准的工资；</w:t>
            </w:r>
            <w:r/>
          </w:p>
          <w:p>
            <w:pPr>
              <w:spacing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⑤提供本单位制造的货物、承担的工程或者服务（以下简称产品），或者提供其他残疾人福利性单位制造的货物（不包括使用非残疾人福利性单位注册商标的货物）。</w:t>
            </w:r>
            <w:r/>
          </w:p>
          <w:p>
            <w:pPr>
              <w:spacing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前款所称残疾人是指法定劳动年龄内，持有《中华人民共和国残疾人证》或者《中华人民共和国残疾军人证（1 至 8 级）》的自然人，包括具有劳动条件和劳动意愿的精神残疾人。在职职工人数是指与残疾人福利性单位建立劳动关系并依法签订劳动合同或者服务协议的雇员人数。</w:t>
            </w:r>
            <w:r/>
          </w:p>
          <w:p>
            <w:pPr>
              <w:spacing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具体以《三部门联合发布关于促进残疾人就业政府采购政策的通知》（财库〔2017〕141 号）规定为准。</w:t>
            </w:r>
            <w:r/>
          </w:p>
          <w:p>
            <w:pPr>
              <w:spacing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注：</w:t>
            </w:r>
            <w:r/>
          </w:p>
          <w:p>
            <w:pPr>
              <w:spacing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1.投标人应对以上文件的合法性、真实性负责。</w:t>
            </w:r>
            <w:r/>
          </w:p>
          <w:p>
            <w:pPr>
              <w:spacing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trHeight w:val="510"/>
        </w:trPr>
        <w:tc>
          <w:tcPr>
            <w:tcW w:w="2115" w:type="dxa"/>
            <w:vAlign w:val="center"/>
            <w:textDirection w:val="lrTb"/>
            <w:noWrap w:val="false"/>
          </w:tcPr>
          <w:p>
            <w:pPr>
              <w:jc w:val="cente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（十三）2</w:t>
            </w:r>
            <w:r/>
          </w:p>
        </w:tc>
        <w:tc>
          <w:tcPr>
            <w:tcW w:w="7739" w:type="dxa"/>
            <w:vAlign w:val="center"/>
            <w:textDirection w:val="lrTb"/>
            <w:noWrap w:val="false"/>
          </w:tcPr>
          <w:p>
            <w:pP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商务条件见：</w:t>
            </w:r>
            <w:r/>
          </w:p>
          <w:p>
            <w:pP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一、本文件第四章《评标标准》中《评分细则》。</w:t>
            </w:r>
            <w:r/>
          </w:p>
          <w:p>
            <w:pP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二、本文件第三章《投标资料表》中（十二）1和（十二）2。</w:t>
            </w:r>
            <w:r/>
          </w:p>
        </w:tc>
      </w:tr>
      <w:tr>
        <w:trPr>
          <w:trHeight w:val="510"/>
        </w:trPr>
        <w:tc>
          <w:tcPr>
            <w:tcW w:w="2115" w:type="dxa"/>
            <w:vAlign w:val="center"/>
            <w:textDirection w:val="lrTb"/>
            <w:noWrap w:val="false"/>
          </w:tcPr>
          <w:p>
            <w:pPr>
              <w:jc w:val="cente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（十三）3</w:t>
            </w:r>
            <w:r/>
          </w:p>
        </w:tc>
        <w:tc>
          <w:tcPr>
            <w:tcW w:w="7739" w:type="dxa"/>
            <w:vAlign w:val="center"/>
            <w:textDirection w:val="lrTb"/>
            <w:noWrap w:val="false"/>
          </w:tcPr>
          <w:p>
            <w:pP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交货和提供服务的时间：见本文件第五章 《采购需求》及或本文件第六章《拟签订的合同文本》。</w:t>
            </w:r>
            <w:r/>
          </w:p>
        </w:tc>
      </w:tr>
      <w:tr>
        <w:trPr>
          <w:trHeight w:val="510"/>
        </w:trPr>
        <w:tc>
          <w:tcPr>
            <w:tcW w:w="2115" w:type="dxa"/>
            <w:vAlign w:val="center"/>
            <w:textDirection w:val="lrTb"/>
            <w:noWrap w:val="false"/>
          </w:tcPr>
          <w:p>
            <w:pPr>
              <w:jc w:val="cente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（十四）3</w:t>
            </w:r>
            <w:r/>
          </w:p>
        </w:tc>
        <w:tc>
          <w:tcPr>
            <w:tcW w:w="7739" w:type="dxa"/>
            <w:vAlign w:val="center"/>
            <w:textDirection w:val="lrTb"/>
            <w:noWrap w:val="false"/>
          </w:tcPr>
          <w:p>
            <w:pP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本项目预算金额536.15万元人民币，不接受超过采购预算的投标报价。报价包含产品价、税金、运费、安装调试、检测（检验）、保险、培训、售后服务、运行、竣工验收（含验收小组成员中专业技术人员费用）、利润等为完成项目所需的全部费用，采购人不再支付报价以外的任何费用。</w:t>
            </w:r>
            <w:r/>
          </w:p>
        </w:tc>
      </w:tr>
      <w:tr>
        <w:trPr>
          <w:trHeight w:val="510"/>
        </w:trPr>
        <w:tc>
          <w:tcPr>
            <w:tcW w:w="2115" w:type="dxa"/>
            <w:vAlign w:val="center"/>
            <w:textDirection w:val="lrTb"/>
            <w:noWrap w:val="false"/>
          </w:tcPr>
          <w:p>
            <w:pPr>
              <w:jc w:val="cente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（十五）</w:t>
            </w:r>
            <w:r/>
          </w:p>
        </w:tc>
        <w:tc>
          <w:tcPr>
            <w:tcW w:w="7739" w:type="dxa"/>
            <w:vAlign w:val="center"/>
            <w:textDirection w:val="lrTb"/>
            <w:noWrap w:val="false"/>
          </w:tcPr>
          <w:p>
            <w:pP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以人民币报价。</w:t>
            </w:r>
            <w:r/>
          </w:p>
        </w:tc>
      </w:tr>
      <w:tr>
        <w:trPr>
          <w:trHeight w:val="510"/>
        </w:trPr>
        <w:tc>
          <w:tcPr>
            <w:tcW w:w="2115" w:type="dxa"/>
            <w:vAlign w:val="center"/>
            <w:textDirection w:val="lrTb"/>
            <w:noWrap w:val="false"/>
          </w:tcPr>
          <w:p>
            <w:pPr>
              <w:jc w:val="cente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（十七）</w:t>
            </w:r>
            <w:r/>
          </w:p>
        </w:tc>
        <w:tc>
          <w:tcPr>
            <w:tcW w:w="7739" w:type="dxa"/>
            <w:vAlign w:val="center"/>
            <w:textDirection w:val="lrTb"/>
            <w:noWrap w:val="false"/>
          </w:tcPr>
          <w:p>
            <w:pP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投标人应当通过“苏采云”系统提交数据电文形式的投标文件（即电子投标）。</w:t>
            </w:r>
            <w:r/>
          </w:p>
          <w:p>
            <w:pP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特别说明：通过“苏采云”系统提交政府采购客户端工具导出加密的投标文件（后缀名为zip）。投标文件的大小不得超过苏采云要求！</w:t>
            </w:r>
            <w:r/>
          </w:p>
          <w:p>
            <w:pP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 说明：本项目采用线上投标，即供应商投标文件从政府采购客户端工具制作通过“苏采云”系统提交，未提供线上投标文件的，投标无效。</w:t>
            </w:r>
            <w:r/>
          </w:p>
        </w:tc>
      </w:tr>
      <w:tr>
        <w:trPr>
          <w:trHeight w:val="510"/>
        </w:trPr>
        <w:tc>
          <w:tcPr>
            <w:tcW w:w="2115" w:type="dxa"/>
            <w:vAlign w:val="center"/>
            <w:textDirection w:val="lrTb"/>
            <w:noWrap w:val="false"/>
          </w:tcPr>
          <w:p>
            <w:pPr>
              <w:jc w:val="cente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（十八）</w:t>
            </w:r>
            <w:r/>
          </w:p>
        </w:tc>
        <w:tc>
          <w:tcPr>
            <w:tcW w:w="7739" w:type="dxa"/>
            <w:vAlign w:val="center"/>
            <w:textDirection w:val="lrTb"/>
            <w:noWrap w:val="false"/>
          </w:tcPr>
          <w:p>
            <w:pP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见本文件第三章《投标资料表》中(十二)1 和(十二)2</w:t>
            </w:r>
            <w:r/>
          </w:p>
        </w:tc>
      </w:tr>
      <w:tr>
        <w:trPr>
          <w:trHeight w:val="510"/>
        </w:trPr>
        <w:tc>
          <w:tcPr>
            <w:tcW w:w="2115" w:type="dxa"/>
            <w:vAlign w:val="center"/>
            <w:textDirection w:val="lrTb"/>
            <w:noWrap w:val="false"/>
          </w:tcPr>
          <w:p>
            <w:pPr>
              <w:jc w:val="cente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（十九）</w:t>
            </w:r>
            <w:r/>
          </w:p>
        </w:tc>
        <w:tc>
          <w:tcPr>
            <w:tcW w:w="7739" w:type="dxa"/>
            <w:vAlign w:val="center"/>
            <w:textDirection w:val="lrTb"/>
            <w:noWrap w:val="false"/>
          </w:tcPr>
          <w:p>
            <w:pP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投标文件的提交与接收： </w:t>
            </w:r>
            <w:r/>
          </w:p>
          <w:p>
            <w:pP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1、投标文件提交与接收时间：提交投标文件截止时间（2025年10月</w:t>
            </w:r>
            <w:r>
              <w:rPr>
                <w:rFonts w:hint="eastAsia" w:asciiTheme="minorEastAsia" w:hAnsiTheme="minorEastAsia" w:eastAsiaTheme="minorEastAsia" w:cstheme="minorEastAsia"/>
                <w:color w:val="auto"/>
                <w:szCs w:val="21"/>
                <w:lang w:val="en-US" w:eastAsia="zh-CN"/>
              </w:rPr>
              <w:t xml:space="preserve">31</w:t>
            </w:r>
            <w:r>
              <w:rPr>
                <w:rFonts w:hint="eastAsia" w:asciiTheme="minorEastAsia" w:hAnsiTheme="minorEastAsia" w:eastAsiaTheme="minorEastAsia" w:cstheme="minorEastAsia"/>
                <w:color w:val="auto"/>
                <w:szCs w:val="21"/>
              </w:rPr>
              <w:t xml:space="preserve">日09:30）前。</w:t>
            </w:r>
            <w:r/>
          </w:p>
          <w:p>
            <w:pP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2、投标文件提交与接收地点：投标人应当通过“苏采云”系统提交数据电文形式的投标文件（即电子投标），“苏采云”系统自动接收。</w:t>
            </w:r>
            <w:r/>
          </w:p>
        </w:tc>
      </w:tr>
      <w:tr>
        <w:trPr>
          <w:trHeight w:val="510"/>
        </w:trPr>
        <w:tc>
          <w:tcPr>
            <w:tcW w:w="2115" w:type="dxa"/>
            <w:vAlign w:val="center"/>
            <w:textDirection w:val="lrTb"/>
            <w:noWrap w:val="false"/>
          </w:tcPr>
          <w:p>
            <w:pPr>
              <w:jc w:val="cente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（二十）</w:t>
            </w:r>
            <w:r/>
          </w:p>
        </w:tc>
        <w:tc>
          <w:tcPr>
            <w:tcW w:w="7739" w:type="dxa"/>
            <w:vAlign w:val="center"/>
            <w:textDirection w:val="lrTb"/>
            <w:noWrap w:val="false"/>
          </w:tcPr>
          <w:p>
            <w:pP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电子投标文件应由其法定代表人或法定代表人授权代表在规定的网上投标时间内，凭 CA 证书登陆“苏采云”系统在线编制投标文件（电子数据），并在投标截止时间之前上传投标文件。</w:t>
            </w:r>
            <w:r/>
          </w:p>
          <w:p>
            <w:pP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投标人应在达到开标时间后，使用CA数字证书解密各自投标文件。</w:t>
            </w:r>
            <w:r/>
          </w:p>
        </w:tc>
      </w:tr>
      <w:tr>
        <w:trPr>
          <w:trHeight w:val="510"/>
        </w:trPr>
        <w:tc>
          <w:tcPr>
            <w:tcW w:w="2115" w:type="dxa"/>
            <w:vAlign w:val="center"/>
            <w:textDirection w:val="lrTb"/>
            <w:noWrap w:val="false"/>
          </w:tcPr>
          <w:p>
            <w:pPr>
              <w:jc w:val="cente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r>
            <w:r/>
          </w:p>
        </w:tc>
        <w:tc>
          <w:tcPr>
            <w:tcW w:w="7739" w:type="dxa"/>
            <w:vAlign w:val="center"/>
            <w:textDirection w:val="lrTb"/>
            <w:noWrap w:val="false"/>
          </w:tcPr>
          <w:p>
            <w:pPr>
              <w:jc w:val="cente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b/>
                <w:bCs/>
                <w:color w:val="auto"/>
                <w:szCs w:val="21"/>
              </w:rPr>
              <w:t xml:space="preserve">四、开标</w:t>
            </w:r>
            <w:r/>
          </w:p>
        </w:tc>
      </w:tr>
      <w:tr>
        <w:trPr>
          <w:trHeight w:val="510"/>
        </w:trPr>
        <w:tc>
          <w:tcPr>
            <w:tcW w:w="2115" w:type="dxa"/>
            <w:vAlign w:val="center"/>
            <w:textDirection w:val="lrTb"/>
            <w:noWrap w:val="false"/>
          </w:tcPr>
          <w:p>
            <w:pPr>
              <w:jc w:val="cente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（二十五）1</w:t>
            </w:r>
            <w:r/>
          </w:p>
        </w:tc>
        <w:tc>
          <w:tcPr>
            <w:tcW w:w="7739" w:type="dxa"/>
            <w:vAlign w:val="center"/>
            <w:textDirection w:val="lrTb"/>
            <w:noWrap w:val="false"/>
          </w:tcPr>
          <w:p>
            <w:pP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开标时间及地点：</w:t>
            </w:r>
            <w:r/>
          </w:p>
          <w:p>
            <w:pP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1、开标时间：2025年10月</w:t>
            </w:r>
            <w:r>
              <w:rPr>
                <w:rFonts w:hint="eastAsia" w:asciiTheme="minorEastAsia" w:hAnsiTheme="minorEastAsia" w:eastAsiaTheme="minorEastAsia" w:cstheme="minorEastAsia"/>
                <w:color w:val="auto"/>
                <w:szCs w:val="21"/>
                <w:lang w:val="en-US" w:eastAsia="zh-CN"/>
              </w:rPr>
              <w:t xml:space="preserve">31</w:t>
            </w:r>
            <w:r>
              <w:rPr>
                <w:rFonts w:hint="eastAsia" w:asciiTheme="minorEastAsia" w:hAnsiTheme="minorEastAsia" w:eastAsiaTheme="minorEastAsia" w:cstheme="minorEastAsia"/>
                <w:color w:val="auto"/>
                <w:szCs w:val="21"/>
              </w:rPr>
              <w:t xml:space="preserve">日09:30（北京时间）。</w:t>
            </w:r>
            <w:r/>
          </w:p>
          <w:p>
            <w:pP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2、开标地点：“苏采云”系统（网址： http://jszfcg.jsczt.cn/）“开标大厅”或进入徐州政府采购网（网址：http://czj.xz.gov.cn/Home/HomeIndex）--业务工作--用户登录，点击“苏采云”进入系统“开标大厅”。</w:t>
            </w:r>
            <w:r/>
          </w:p>
        </w:tc>
      </w:tr>
      <w:tr>
        <w:trPr>
          <w:trHeight w:val="510"/>
        </w:trPr>
        <w:tc>
          <w:tcPr>
            <w:tcW w:w="2115" w:type="dxa"/>
            <w:vAlign w:val="center"/>
            <w:textDirection w:val="lrTb"/>
            <w:noWrap w:val="false"/>
          </w:tcPr>
          <w:p>
            <w:pPr>
              <w:jc w:val="cente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（二十五）3</w:t>
            </w:r>
            <w:r/>
          </w:p>
        </w:tc>
        <w:tc>
          <w:tcPr>
            <w:tcW w:w="7739" w:type="dxa"/>
            <w:vAlign w:val="center"/>
            <w:textDirection w:val="lrTb"/>
            <w:noWrap w:val="false"/>
          </w:tcPr>
          <w:p>
            <w:pP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所有投标人解密（或解密时间）结束后，“苏采云”系统生成开标记录并向社会公众公布，但依法应当保密的除外。</w:t>
            </w:r>
            <w:r/>
          </w:p>
        </w:tc>
      </w:tr>
      <w:tr>
        <w:trPr>
          <w:trHeight w:val="510"/>
        </w:trPr>
        <w:tc>
          <w:tcPr>
            <w:tcW w:w="2115" w:type="dxa"/>
            <w:vAlign w:val="center"/>
            <w:textDirection w:val="lrTb"/>
            <w:noWrap w:val="false"/>
          </w:tcPr>
          <w:p>
            <w:pPr>
              <w:jc w:val="cente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r>
            <w:r/>
          </w:p>
        </w:tc>
        <w:tc>
          <w:tcPr>
            <w:tcW w:w="7739" w:type="dxa"/>
            <w:vAlign w:val="center"/>
            <w:textDirection w:val="lrTb"/>
            <w:noWrap w:val="false"/>
          </w:tcPr>
          <w:p>
            <w:pPr>
              <w:jc w:val="cente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b/>
                <w:bCs/>
                <w:color w:val="auto"/>
                <w:szCs w:val="21"/>
              </w:rPr>
              <w:t xml:space="preserve">五、评标</w:t>
            </w:r>
            <w:r/>
          </w:p>
        </w:tc>
      </w:tr>
      <w:tr>
        <w:trPr>
          <w:trHeight w:val="510"/>
        </w:trPr>
        <w:tc>
          <w:tcPr>
            <w:tcW w:w="2115" w:type="dxa"/>
            <w:vAlign w:val="center"/>
            <w:textDirection w:val="lrTb"/>
            <w:noWrap w:val="false"/>
          </w:tcPr>
          <w:p>
            <w:pPr>
              <w:jc w:val="cente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（二十七）</w:t>
            </w:r>
            <w:r/>
          </w:p>
        </w:tc>
        <w:tc>
          <w:tcPr>
            <w:tcW w:w="7739" w:type="dxa"/>
            <w:vAlign w:val="center"/>
            <w:textDirection w:val="lrTb"/>
            <w:noWrap w:val="false"/>
          </w:tcPr>
          <w:p>
            <w:pP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本项目的评标方法：综合评分法。</w:t>
            </w:r>
            <w:r/>
          </w:p>
        </w:tc>
      </w:tr>
      <w:tr>
        <w:trPr>
          <w:trHeight w:val="510"/>
        </w:trPr>
        <w:tc>
          <w:tcPr>
            <w:tcW w:w="2115" w:type="dxa"/>
            <w:vAlign w:val="center"/>
            <w:textDirection w:val="lrTb"/>
            <w:noWrap w:val="false"/>
          </w:tcPr>
          <w:p>
            <w:pPr>
              <w:jc w:val="cente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（二十八）</w:t>
            </w:r>
            <w:r/>
          </w:p>
        </w:tc>
        <w:tc>
          <w:tcPr>
            <w:tcW w:w="7739" w:type="dxa"/>
            <w:vAlign w:val="center"/>
            <w:textDirection w:val="lrTb"/>
            <w:noWrap w:val="false"/>
          </w:tcPr>
          <w:p>
            <w:pP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一、推荐中标候选供应商名单。中标候选供应商数量应当根据采购需要确定，但必须按顺序排列中标候选供应商。</w:t>
            </w:r>
            <w:r/>
          </w:p>
          <w:p>
            <w:pP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二、采用综合评分法的，按评审后得分由高到低顺序排列。得分相同的，按投标报价由低到高顺序排列。得分且投标报价相同的，按</w:t>
            </w:r>
            <w:r>
              <w:rPr>
                <w:rFonts w:hint="eastAsia" w:asciiTheme="minorEastAsia" w:hAnsiTheme="minorEastAsia" w:eastAsiaTheme="minorEastAsia" w:cstheme="minorEastAsia"/>
                <w:color w:val="auto"/>
                <w:szCs w:val="21"/>
                <w:lang w:val="en-US" w:eastAsia="zh-CN"/>
              </w:rPr>
              <w:t xml:space="preserve">项目实施方案</w:t>
            </w:r>
            <w:r>
              <w:rPr>
                <w:rFonts w:hint="eastAsia" w:asciiTheme="minorEastAsia" w:hAnsiTheme="minorEastAsia" w:eastAsiaTheme="minorEastAsia" w:cstheme="minorEastAsia"/>
                <w:color w:val="auto"/>
                <w:szCs w:val="21"/>
              </w:rPr>
              <w:t xml:space="preserve">得分顺序排列，得分且投标报价且</w:t>
            </w:r>
            <w:r>
              <w:rPr>
                <w:rFonts w:hint="eastAsia" w:asciiTheme="minorEastAsia" w:hAnsiTheme="minorEastAsia" w:eastAsiaTheme="minorEastAsia" w:cstheme="minorEastAsia"/>
                <w:color w:val="auto"/>
                <w:szCs w:val="21"/>
                <w:lang w:val="en-US" w:eastAsia="zh-CN"/>
              </w:rPr>
              <w:t xml:space="preserve">项目实施方案</w:t>
            </w:r>
            <w:r>
              <w:rPr>
                <w:rFonts w:hint="eastAsia" w:asciiTheme="minorEastAsia" w:hAnsiTheme="minorEastAsia" w:eastAsiaTheme="minorEastAsia" w:cstheme="minorEastAsia"/>
                <w:color w:val="auto"/>
                <w:szCs w:val="21"/>
              </w:rPr>
              <w:t xml:space="preserve">得分均相同的，按</w:t>
            </w:r>
            <w:r>
              <w:rPr>
                <w:rFonts w:hint="eastAsia" w:asciiTheme="minorEastAsia" w:hAnsiTheme="minorEastAsia" w:eastAsiaTheme="minorEastAsia" w:cstheme="minorEastAsia"/>
                <w:color w:val="auto"/>
                <w:szCs w:val="21"/>
                <w:lang w:val="en-US" w:eastAsia="zh-CN"/>
              </w:rPr>
              <w:t xml:space="preserve">监测工作的程序与方法</w:t>
            </w:r>
            <w:r>
              <w:rPr>
                <w:rFonts w:hint="eastAsia" w:asciiTheme="minorEastAsia" w:hAnsiTheme="minorEastAsia" w:eastAsiaTheme="minorEastAsia" w:cstheme="minorEastAsia"/>
                <w:color w:val="auto"/>
                <w:szCs w:val="21"/>
              </w:rPr>
              <w:t xml:space="preserve">得分顺序排列。</w:t>
            </w:r>
            <w:r/>
          </w:p>
          <w:p>
            <w:pP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三、采购人应当自收到评标报告之日起５个工作日内，在评标报告确定的中标候选人名单中按得分最高顺序确定一名中标人。</w:t>
            </w:r>
            <w:r/>
          </w:p>
        </w:tc>
      </w:tr>
      <w:tr>
        <w:trPr>
          <w:trHeight w:val="510"/>
        </w:trPr>
        <w:tc>
          <w:tcPr>
            <w:tcW w:w="2115" w:type="dxa"/>
            <w:vAlign w:val="center"/>
            <w:textDirection w:val="lrTb"/>
            <w:noWrap w:val="false"/>
          </w:tcPr>
          <w:p>
            <w:pPr>
              <w:jc w:val="cente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（二十九）4</w:t>
            </w:r>
            <w:r/>
          </w:p>
        </w:tc>
        <w:tc>
          <w:tcPr>
            <w:tcW w:w="7739" w:type="dxa"/>
            <w:vAlign w:val="center"/>
            <w:textDirection w:val="lrTb"/>
            <w:noWrap w:val="false"/>
          </w:tcPr>
          <w:p>
            <w:pP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1、评标中需要投标人对投标文件澄清或者说明的，应当通过“苏采云”系统交换数据电文。在评标期间，请投标人保持在线。</w:t>
            </w:r>
            <w:r/>
          </w:p>
          <w:p>
            <w:pP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2、对于投标文件中含义不明确、同类问题表述不一致或者有明显文字和计算错误的内容，评标委员会通过“苏采云”系统要求投标人作出必要的澄清、说明或者补正，并规定回复时间。</w:t>
            </w:r>
            <w:r/>
          </w:p>
          <w:p>
            <w:pP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特别说明：“苏采云”系统通过“江苏省政府采购一体化不见面开标大厅”提醒投标人。投标人自行查看，投标人因自身原因不及时查看导致没收到信息，“苏采云”系统不承担任何责任。</w:t>
            </w:r>
            <w:r/>
          </w:p>
        </w:tc>
      </w:tr>
      <w:tr>
        <w:trPr>
          <w:trHeight w:val="510"/>
        </w:trPr>
        <w:tc>
          <w:tcPr>
            <w:tcW w:w="2115" w:type="dxa"/>
            <w:vAlign w:val="center"/>
            <w:textDirection w:val="lrTb"/>
            <w:noWrap w:val="false"/>
          </w:tcPr>
          <w:p>
            <w:pPr>
              <w:jc w:val="cente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r>
            <w:r/>
          </w:p>
        </w:tc>
        <w:tc>
          <w:tcPr>
            <w:tcW w:w="7739" w:type="dxa"/>
            <w:vAlign w:val="center"/>
            <w:textDirection w:val="lrTb"/>
            <w:noWrap w:val="false"/>
          </w:tcPr>
          <w:p>
            <w:pPr>
              <w:jc w:val="center"/>
              <w:spacing w:line="360" w:lineRule="auto"/>
              <w:rPr>
                <w:rFonts w:hint="eastAsia" w:asciiTheme="minorEastAsia" w:hAnsiTheme="minorEastAsia" w:eastAsiaTheme="minorEastAsia" w:cstheme="minorEastAsia"/>
                <w:b/>
                <w:bCs/>
                <w:color w:val="auto"/>
                <w:szCs w:val="21"/>
              </w:rPr>
            </w:pPr>
            <w:r>
              <w:rPr>
                <w:rFonts w:hint="eastAsia" w:asciiTheme="minorEastAsia" w:hAnsiTheme="minorEastAsia" w:eastAsiaTheme="minorEastAsia" w:cstheme="minorEastAsia"/>
                <w:b/>
                <w:bCs/>
                <w:color w:val="auto"/>
                <w:szCs w:val="21"/>
              </w:rPr>
              <w:t xml:space="preserve">七、政府采购合同</w:t>
            </w:r>
            <w:r/>
          </w:p>
        </w:tc>
      </w:tr>
      <w:tr>
        <w:trPr>
          <w:trHeight w:val="510"/>
        </w:trPr>
        <w:tc>
          <w:tcPr>
            <w:tcW w:w="2115" w:type="dxa"/>
            <w:vAlign w:val="center"/>
            <w:textDirection w:val="lrTb"/>
            <w:noWrap w:val="false"/>
          </w:tcPr>
          <w:p>
            <w:pPr>
              <w:jc w:val="cente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（三十七）</w:t>
            </w:r>
            <w:r/>
          </w:p>
        </w:tc>
        <w:tc>
          <w:tcPr>
            <w:tcW w:w="7739" w:type="dxa"/>
            <w:vAlign w:val="center"/>
            <w:textDirection w:val="lrTb"/>
            <w:noWrap w:val="false"/>
          </w:tcPr>
          <w:p>
            <w:pP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采购人与中标、成交供应商应当在中标、成交通知书发出之日起30日内，按照采购文件确定的事项签订采购合同。</w:t>
            </w:r>
            <w:r/>
          </w:p>
        </w:tc>
      </w:tr>
      <w:tr>
        <w:trPr>
          <w:trHeight w:val="510"/>
        </w:trPr>
        <w:tc>
          <w:tcPr>
            <w:tcW w:w="2115" w:type="dxa"/>
            <w:vAlign w:val="center"/>
            <w:textDirection w:val="lrTb"/>
            <w:noWrap w:val="false"/>
          </w:tcPr>
          <w:p>
            <w:pPr>
              <w:jc w:val="center"/>
              <w:rPr>
                <w:color w:val="auto"/>
              </w:rPr>
            </w:pPr>
            <w:r>
              <w:rPr>
                <w:rFonts w:hint="eastAsia"/>
                <w:color w:val="auto"/>
              </w:rPr>
              <w:t xml:space="preserve">（三十八）</w:t>
            </w:r>
            <w:r/>
          </w:p>
        </w:tc>
        <w:tc>
          <w:tcPr>
            <w:tcW w:w="7739" w:type="dxa"/>
            <w:vAlign w:val="center"/>
            <w:textDirection w:val="lrTb"/>
            <w:noWrap w:val="false"/>
          </w:tcPr>
          <w:p>
            <w:pPr>
              <w:spacing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履约保证金：中标金额的3%。</w:t>
            </w:r>
            <w:r/>
          </w:p>
          <w:p>
            <w:pPr>
              <w:spacing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spacing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 如以履约保函（保险）形式缴纳履约保证金，供应商可通过政府采购电子履约保函（保险）平台（www.jsdzbh.com）在线申请履约保函（保险）。</w:t>
            </w:r>
            <w:r/>
          </w:p>
          <w:p>
            <w:pPr>
              <w:spacing w:line="360" w:lineRule="auto"/>
              <w:rPr>
                <w:color w:val="auto"/>
              </w:rPr>
            </w:pPr>
            <w:r>
              <w:rPr>
                <w:rFonts w:hint="eastAsia" w:asciiTheme="minorEastAsia" w:hAnsiTheme="minorEastAsia" w:eastAsiaTheme="minorEastAsia" w:cstheme="minorEastAsia"/>
                <w:color w:val="auto"/>
              </w:rPr>
              <w:t xml:space="preserve">履约保证金的返还：待工程竣工验收合格且3年缺陷责任期满无质量问题后30日历天内无息退还。如果承包人不履行合同约定的义务，未能完全履行合同规定的义务或其履行不符合合同的约定，发包人有权扣除履约保证金取得补偿。</w:t>
            </w:r>
            <w:r/>
          </w:p>
        </w:tc>
      </w:tr>
      <w:tr>
        <w:trPr>
          <w:trHeight w:val="510"/>
        </w:trPr>
        <w:tc>
          <w:tcPr>
            <w:tcW w:w="2115" w:type="dxa"/>
            <w:vAlign w:val="center"/>
            <w:textDirection w:val="lrTb"/>
            <w:noWrap w:val="false"/>
          </w:tcPr>
          <w:p>
            <w:pPr>
              <w:jc w:val="cente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r>
            <w:r/>
          </w:p>
        </w:tc>
        <w:tc>
          <w:tcPr>
            <w:tcW w:w="7739" w:type="dxa"/>
            <w:vAlign w:val="center"/>
            <w:textDirection w:val="lrTb"/>
            <w:noWrap w:val="false"/>
          </w:tcPr>
          <w:p>
            <w:pPr>
              <w:jc w:val="cente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b/>
                <w:bCs/>
                <w:color w:val="auto"/>
                <w:szCs w:val="21"/>
              </w:rPr>
              <w:t xml:space="preserve">八、询问和质疑</w:t>
            </w:r>
            <w:r/>
          </w:p>
        </w:tc>
      </w:tr>
      <w:tr>
        <w:trPr>
          <w:trHeight w:val="510"/>
        </w:trPr>
        <w:tc>
          <w:tcPr>
            <w:tcW w:w="2115" w:type="dxa"/>
            <w:vAlign w:val="center"/>
            <w:textDirection w:val="lrTb"/>
            <w:noWrap w:val="false"/>
          </w:tcPr>
          <w:p>
            <w:pPr>
              <w:jc w:val="cente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（四十）</w:t>
            </w:r>
            <w:r/>
          </w:p>
        </w:tc>
        <w:tc>
          <w:tcPr>
            <w:tcW w:w="7739" w:type="dxa"/>
            <w:vAlign w:val="center"/>
            <w:textDirection w:val="lrTb"/>
            <w:noWrap w:val="false"/>
          </w:tcPr>
          <w:p>
            <w:pP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供应商提出书面质疑必须有理、有据，不得恶意质疑或提交虚假质疑。否则，一经查实，代理机构有权依据政府采购的有关规定，报请政府采购监管部门对该供应商进行相应的行政处罚。</w:t>
            </w:r>
            <w:r/>
          </w:p>
          <w:p>
            <w:pP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供应商在法定质疑期内一次性提出针对同一采购程序环节的质疑。</w:t>
            </w:r>
            <w:r/>
          </w:p>
          <w:p>
            <w:pP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质疑接收人：卢林兵;联系电话：13395245931 ；</w:t>
            </w:r>
            <w:r/>
          </w:p>
          <w:p>
            <w:pP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办公地址：盐城经济技术开发区黄山南路12号新嘉源人才公寓9幢509室。</w:t>
            </w:r>
            <w:r/>
          </w:p>
        </w:tc>
      </w:tr>
      <w:tr>
        <w:trPr>
          <w:trHeight w:val="510"/>
        </w:trPr>
        <w:tc>
          <w:tcPr>
            <w:tcW w:w="2115" w:type="dxa"/>
            <w:vAlign w:val="center"/>
            <w:textDirection w:val="lrTb"/>
            <w:noWrap w:val="false"/>
          </w:tcPr>
          <w:p>
            <w:pPr>
              <w:jc w:val="cente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附加说明</w:t>
            </w:r>
            <w:r/>
          </w:p>
        </w:tc>
        <w:tc>
          <w:tcPr>
            <w:tcW w:w="7739" w:type="dxa"/>
            <w:vAlign w:val="center"/>
            <w:textDirection w:val="lrTb"/>
            <w:noWrap w:val="false"/>
          </w:tcPr>
          <w:p>
            <w:pP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中标人在收到中标通知书时，须向采购人和采购代理机构提交《开标一览表》和《分项价格表》的数据文件（WORD格式）。</w:t>
            </w:r>
            <w:r/>
          </w:p>
        </w:tc>
      </w:tr>
    </w:tbl>
    <w:p>
      <w:pPr>
        <w:jc w:val="left"/>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highlight w:val="none"/>
        </w:rPr>
      </w:r>
      <w:r>
        <w:rPr>
          <w:rFonts w:hint="eastAsia" w:asciiTheme="minorEastAsia" w:hAnsiTheme="minorEastAsia" w:eastAsiaTheme="minorEastAsia" w:cstheme="minorEastAsia"/>
          <w:color w:val="auto"/>
          <w:sz w:val="24"/>
          <w:highlight w:val="none"/>
        </w:rPr>
      </w:r>
      <w:r/>
    </w:p>
    <w:p>
      <w:pPr>
        <w:jc w:val="left"/>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highlight w:val="none"/>
        </w:rPr>
      </w:r>
      <w:r>
        <w:rPr>
          <w:rFonts w:hint="eastAsia" w:asciiTheme="minorEastAsia" w:hAnsiTheme="minorEastAsia" w:eastAsiaTheme="minorEastAsia" w:cstheme="minorEastAsia"/>
          <w:color w:val="auto"/>
          <w:sz w:val="24"/>
          <w:highlight w:val="none"/>
        </w:rPr>
      </w:r>
      <w:r/>
    </w:p>
    <w:p>
      <w:pPr>
        <w:jc w:val="left"/>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rPr>
        <w:t xml:space="preserve">附件：</w:t>
      </w:r>
      <w:r/>
    </w:p>
    <w:p>
      <w:pPr>
        <w:jc w:val="center"/>
        <w:spacing w:line="36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徐州市政府采购代理服务行业收费指导价</w:t>
      </w:r>
      <w:r/>
    </w:p>
    <w:tbl>
      <w:tblPr>
        <w:tblStyle w:val="86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394"/>
        <w:gridCol w:w="4110"/>
      </w:tblGrid>
      <w:tr>
        <w:trPr/>
        <w:tc>
          <w:tcPr>
            <w:tcW w:w="4394" w:type="dxa"/>
            <w:textDirection w:val="lrTb"/>
            <w:noWrap w:val="false"/>
          </w:tcPr>
          <w:p>
            <w:pPr>
              <w:jc w:val="center"/>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中标或者成交金额</w:t>
            </w:r>
            <w:r/>
          </w:p>
        </w:tc>
        <w:tc>
          <w:tcPr>
            <w:tcW w:w="4110" w:type="dxa"/>
            <w:textDirection w:val="lrTb"/>
            <w:noWrap w:val="false"/>
          </w:tcPr>
          <w:p>
            <w:pPr>
              <w:jc w:val="center"/>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费率</w:t>
            </w:r>
            <w:r/>
          </w:p>
        </w:tc>
      </w:tr>
      <w:tr>
        <w:trPr/>
        <w:tc>
          <w:tcPr>
            <w:tcW w:w="4394" w:type="dxa"/>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最低收费金额（每个委托项目）</w:t>
            </w:r>
            <w:r/>
          </w:p>
        </w:tc>
        <w:tc>
          <w:tcPr>
            <w:tcW w:w="4110" w:type="dxa"/>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5000元</w:t>
            </w:r>
            <w:r/>
          </w:p>
        </w:tc>
      </w:tr>
      <w:tr>
        <w:trPr/>
        <w:tc>
          <w:tcPr>
            <w:tcW w:w="4394" w:type="dxa"/>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50万元以下（含50万元）</w:t>
            </w:r>
            <w:r/>
          </w:p>
        </w:tc>
        <w:tc>
          <w:tcPr>
            <w:tcW w:w="4110" w:type="dxa"/>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w:t>
            </w:r>
            <w:r/>
          </w:p>
        </w:tc>
      </w:tr>
      <w:tr>
        <w:trPr/>
        <w:tc>
          <w:tcPr>
            <w:tcW w:w="4394" w:type="dxa"/>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50-400万元（含400万元）</w:t>
            </w:r>
            <w:r/>
          </w:p>
        </w:tc>
        <w:tc>
          <w:tcPr>
            <w:tcW w:w="4110" w:type="dxa"/>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r>
      <w:tr>
        <w:trPr/>
        <w:tc>
          <w:tcPr>
            <w:tcW w:w="4394" w:type="dxa"/>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400-1000万元（含1000万元）</w:t>
            </w:r>
            <w:r/>
          </w:p>
        </w:tc>
        <w:tc>
          <w:tcPr>
            <w:tcW w:w="4110" w:type="dxa"/>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r>
      <w:tr>
        <w:trPr/>
        <w:tc>
          <w:tcPr>
            <w:tcW w:w="4394" w:type="dxa"/>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1000-5000万元（含5000万元）</w:t>
            </w:r>
            <w:r/>
          </w:p>
        </w:tc>
        <w:tc>
          <w:tcPr>
            <w:tcW w:w="4110" w:type="dxa"/>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0.8%</w:t>
            </w:r>
            <w:r/>
          </w:p>
        </w:tc>
      </w:tr>
      <w:tr>
        <w:trPr/>
        <w:tc>
          <w:tcPr>
            <w:tcW w:w="4394" w:type="dxa"/>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5000万元-1亿元</w:t>
            </w:r>
            <w:r/>
          </w:p>
        </w:tc>
        <w:tc>
          <w:tcPr>
            <w:tcW w:w="4110" w:type="dxa"/>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0.25%</w:t>
            </w:r>
            <w:r/>
          </w:p>
        </w:tc>
      </w:tr>
      <w:tr>
        <w:trPr/>
        <w:tc>
          <w:tcPr>
            <w:tcW w:w="4394" w:type="dxa"/>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1-10亿元（含10亿元）</w:t>
            </w:r>
            <w:r/>
          </w:p>
        </w:tc>
        <w:tc>
          <w:tcPr>
            <w:tcW w:w="4110" w:type="dxa"/>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0.05%</w:t>
            </w:r>
            <w:r/>
          </w:p>
        </w:tc>
      </w:tr>
      <w:tr>
        <w:trPr/>
        <w:tc>
          <w:tcPr>
            <w:tcW w:w="4394" w:type="dxa"/>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10-50亿元（含50亿元）</w:t>
            </w:r>
            <w:r/>
          </w:p>
        </w:tc>
        <w:tc>
          <w:tcPr>
            <w:tcW w:w="4110" w:type="dxa"/>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0.01%</w:t>
            </w:r>
            <w:r/>
          </w:p>
        </w:tc>
      </w:tr>
      <w:tr>
        <w:trPr/>
        <w:tc>
          <w:tcPr>
            <w:tcW w:w="4394" w:type="dxa"/>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50亿元以上</w:t>
            </w:r>
            <w:r/>
          </w:p>
        </w:tc>
        <w:tc>
          <w:tcPr>
            <w:tcW w:w="4110" w:type="dxa"/>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0.005%</w:t>
            </w:r>
            <w:r/>
          </w:p>
        </w:tc>
      </w:tr>
    </w:tbl>
    <w:p>
      <w:pPr>
        <w:ind w:firstLine="48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说明：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1.按上表计算的收费为代理服务全过程的收费金额。各社会代理机构不再收取采购文件制作售卖费用。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2.代理服务费按差额定率累进法计算。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3.代理服务费基准金额（按差额定率累进法计算的）=中标金额（按差额定率累进法计算的） * 费率（%）。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4.代理服务费应收取金额=代理服务费基准金额（按差额定率累进法计算的）的合计数。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5.定点类等无金额或事先不能计算出价格总额，按中标（成交）金额100万元计算。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6.有分包（分标段）的按一个项目计算。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7.以上价格为协会指导价，双方可根据项目难易程度和优质优价原则协商确定</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8.账户信息：</w:t>
      </w:r>
      <w:r/>
    </w:p>
    <w:p>
      <w:pPr>
        <w:ind w:firstLine="48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ind w:firstLine="482"/>
        <w:rPr>
          <w:rFonts w:hint="eastAsia" w:asciiTheme="minorEastAsia" w:hAnsiTheme="minorEastAsia" w:eastAsiaTheme="minorEastAsia" w:cstheme="minorEastAsia"/>
          <w:b/>
          <w:bCs/>
          <w:color w:val="auto"/>
          <w:sz w:val="24"/>
        </w:rPr>
      </w:pPr>
      <w:r>
        <w:rPr>
          <w:rFonts w:hint="eastAsia" w:asciiTheme="minorEastAsia" w:hAnsiTheme="minorEastAsia" w:eastAsiaTheme="minorEastAsia" w:cstheme="minorEastAsia"/>
          <w:b/>
          <w:bCs/>
          <w:color w:val="auto"/>
          <w:sz w:val="24"/>
        </w:rPr>
        <w:t xml:space="preserve">账 户 名：江苏执策建设管理有限公司 </w:t>
      </w:r>
      <w:r/>
    </w:p>
    <w:p>
      <w:pPr>
        <w:ind w:firstLine="482"/>
        <w:rPr>
          <w:rFonts w:hint="eastAsia" w:asciiTheme="minorEastAsia" w:hAnsiTheme="minorEastAsia" w:eastAsiaTheme="minorEastAsia" w:cstheme="minorEastAsia"/>
          <w:b/>
          <w:bCs/>
          <w:color w:val="auto"/>
          <w:sz w:val="24"/>
        </w:rPr>
      </w:pPr>
      <w:r>
        <w:rPr>
          <w:rFonts w:hint="eastAsia" w:asciiTheme="minorEastAsia" w:hAnsiTheme="minorEastAsia" w:eastAsiaTheme="minorEastAsia" w:cstheme="minorEastAsia"/>
          <w:b/>
          <w:bCs/>
          <w:color w:val="auto"/>
          <w:sz w:val="24"/>
        </w:rPr>
        <w:t xml:space="preserve">开户银行：浙江网商银行   </w:t>
      </w:r>
      <w:r/>
    </w:p>
    <w:p>
      <w:pPr>
        <w:ind w:firstLine="482"/>
        <w:rPr>
          <w:rFonts w:hint="eastAsia" w:asciiTheme="minorEastAsia" w:hAnsiTheme="minorEastAsia" w:eastAsiaTheme="minorEastAsia" w:cstheme="minorEastAsia"/>
          <w:b/>
          <w:bCs/>
          <w:color w:val="auto"/>
          <w:sz w:val="24"/>
        </w:rPr>
      </w:pPr>
      <w:r>
        <w:rPr>
          <w:rFonts w:hint="eastAsia" w:asciiTheme="minorEastAsia" w:hAnsiTheme="minorEastAsia" w:eastAsiaTheme="minorEastAsia" w:cstheme="minorEastAsia"/>
          <w:b/>
          <w:bCs/>
          <w:color w:val="auto"/>
          <w:sz w:val="24"/>
        </w:rPr>
        <w:t xml:space="preserve">账    号：8888 8886 1187 6663</w:t>
      </w:r>
      <w:r/>
    </w:p>
    <w:p>
      <w:pPr>
        <w:ind w:firstLine="482"/>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rPr>
        <w:t xml:space="preserve">联 行 号：3233 3100 0001  </w:t>
      </w:r>
      <w:r/>
    </w:p>
    <w:p>
      <w:pPr>
        <w:ind w:firstLine="482"/>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rPr>
          <w:rFonts w:hint="eastAsia" w:asciiTheme="minorEastAsia" w:hAnsiTheme="minorEastAsia" w:eastAsiaTheme="minorEastAsia" w:cstheme="minorEastAsia"/>
          <w:b/>
          <w:bCs/>
          <w:color w:val="auto"/>
          <w:sz w:val="24"/>
          <w:szCs w:val="24"/>
        </w:rPr>
      </w:r>
      <w:r/>
    </w:p>
    <w:p>
      <w:pPr>
        <w:ind w:firstLine="482"/>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rPr>
          <w:rFonts w:hint="eastAsia" w:asciiTheme="minorEastAsia" w:hAnsiTheme="minorEastAsia" w:eastAsiaTheme="minorEastAsia" w:cstheme="minorEastAsia"/>
          <w:b/>
          <w:bCs/>
          <w:color w:val="auto"/>
          <w:sz w:val="24"/>
          <w:szCs w:val="24"/>
        </w:rPr>
      </w:r>
      <w:r/>
    </w:p>
    <w:p>
      <w:pPr>
        <w:ind w:firstLine="482"/>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rPr>
          <w:rFonts w:hint="eastAsia" w:asciiTheme="minorEastAsia" w:hAnsiTheme="minorEastAsia" w:eastAsiaTheme="minorEastAsia" w:cstheme="minorEastAsia"/>
          <w:b/>
          <w:bCs/>
          <w:color w:val="auto"/>
          <w:sz w:val="24"/>
          <w:szCs w:val="24"/>
        </w:rPr>
      </w:r>
      <w:r/>
    </w:p>
    <w:p>
      <w:pPr>
        <w:ind w:firstLine="482"/>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rPr>
          <w:rFonts w:hint="eastAsia" w:asciiTheme="minorEastAsia" w:hAnsiTheme="minorEastAsia" w:eastAsiaTheme="minorEastAsia" w:cstheme="minorEastAsia"/>
          <w:b/>
          <w:bCs/>
          <w:color w:val="auto"/>
          <w:sz w:val="24"/>
          <w:szCs w:val="24"/>
        </w:rPr>
      </w:r>
      <w:r/>
    </w:p>
    <w:p>
      <w:pPr>
        <w:ind w:firstLine="482"/>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rPr>
          <w:rFonts w:hint="eastAsia" w:asciiTheme="minorEastAsia" w:hAnsiTheme="minorEastAsia" w:eastAsiaTheme="minorEastAsia" w:cstheme="minorEastAsia"/>
          <w:b/>
          <w:bCs/>
          <w:color w:val="auto"/>
          <w:sz w:val="24"/>
          <w:szCs w:val="24"/>
        </w:rPr>
      </w:r>
      <w:r/>
    </w:p>
    <w:p>
      <w:pPr>
        <w:ind w:firstLine="482"/>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rPr>
          <w:rFonts w:hint="eastAsia" w:asciiTheme="minorEastAsia" w:hAnsiTheme="minorEastAsia" w:eastAsiaTheme="minorEastAsia" w:cstheme="minorEastAsia"/>
          <w:b/>
          <w:bCs/>
          <w:color w:val="auto"/>
          <w:sz w:val="24"/>
          <w:szCs w:val="24"/>
        </w:rPr>
      </w:r>
      <w:r/>
    </w:p>
    <w:p>
      <w:pPr>
        <w:ind w:firstLine="482"/>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rPr>
          <w:rFonts w:hint="eastAsia" w:asciiTheme="minorEastAsia" w:hAnsiTheme="minorEastAsia" w:eastAsiaTheme="minorEastAsia" w:cstheme="minorEastAsia"/>
          <w:b/>
          <w:bCs/>
          <w:color w:val="auto"/>
          <w:sz w:val="24"/>
          <w:szCs w:val="24"/>
        </w:rPr>
      </w:r>
      <w:r/>
    </w:p>
    <w:p>
      <w:pPr>
        <w:ind w:firstLine="482"/>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rPr>
          <w:rFonts w:hint="eastAsia" w:asciiTheme="minorEastAsia" w:hAnsiTheme="minorEastAsia" w:eastAsiaTheme="minorEastAsia" w:cstheme="minorEastAsia"/>
          <w:b/>
          <w:bCs/>
          <w:color w:val="auto"/>
          <w:sz w:val="24"/>
          <w:szCs w:val="24"/>
        </w:rPr>
      </w:r>
      <w:r/>
    </w:p>
    <w:p>
      <w:pPr>
        <w:ind w:firstLine="482"/>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rPr>
          <w:rFonts w:hint="eastAsia" w:asciiTheme="minorEastAsia" w:hAnsiTheme="minorEastAsia" w:eastAsiaTheme="minorEastAsia" w:cstheme="minorEastAsia"/>
          <w:b/>
          <w:bCs/>
          <w:color w:val="auto"/>
          <w:sz w:val="24"/>
          <w:szCs w:val="24"/>
        </w:rPr>
      </w:r>
      <w:r/>
    </w:p>
    <w:p>
      <w:pPr>
        <w:ind w:firstLine="482"/>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rPr>
          <w:rFonts w:hint="eastAsia" w:asciiTheme="minorEastAsia" w:hAnsiTheme="minorEastAsia" w:eastAsiaTheme="minorEastAsia" w:cstheme="minorEastAsia"/>
          <w:b/>
          <w:bCs/>
          <w:color w:val="auto"/>
          <w:sz w:val="24"/>
          <w:szCs w:val="24"/>
        </w:rPr>
      </w:r>
      <w:r/>
    </w:p>
    <w:p>
      <w:pPr>
        <w:ind w:firstLine="482"/>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rPr>
          <w:rFonts w:hint="eastAsia" w:asciiTheme="minorEastAsia" w:hAnsiTheme="minorEastAsia" w:eastAsiaTheme="minorEastAsia" w:cstheme="minorEastAsia"/>
          <w:b/>
          <w:bCs/>
          <w:color w:val="auto"/>
          <w:sz w:val="24"/>
          <w:szCs w:val="24"/>
        </w:rPr>
      </w:r>
      <w:r/>
    </w:p>
    <w:p>
      <w:pPr>
        <w:ind w:firstLine="482"/>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rPr>
          <w:rFonts w:hint="eastAsia" w:asciiTheme="minorEastAsia" w:hAnsiTheme="minorEastAsia" w:eastAsiaTheme="minorEastAsia" w:cstheme="minorEastAsia"/>
          <w:b/>
          <w:bCs/>
          <w:color w:val="auto"/>
          <w:sz w:val="24"/>
          <w:szCs w:val="24"/>
        </w:rPr>
      </w:r>
      <w:r/>
    </w:p>
    <w:p>
      <w:pPr>
        <w:ind w:firstLine="482"/>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rPr>
          <w:rFonts w:hint="eastAsia" w:asciiTheme="minorEastAsia" w:hAnsiTheme="minorEastAsia" w:eastAsiaTheme="minorEastAsia" w:cstheme="minorEastAsia"/>
          <w:b/>
          <w:bCs/>
          <w:color w:val="auto"/>
          <w:sz w:val="24"/>
          <w:szCs w:val="24"/>
        </w:rPr>
      </w:r>
      <w:r/>
    </w:p>
    <w:p>
      <w:pPr>
        <w:ind w:firstLine="482"/>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highlight w:val="none"/>
        </w:rPr>
      </w:r>
      <w:r>
        <w:rPr>
          <w:rFonts w:hint="eastAsia" w:asciiTheme="minorEastAsia" w:hAnsiTheme="minorEastAsia" w:eastAsiaTheme="minorEastAsia" w:cstheme="minorEastAsia"/>
          <w:b/>
          <w:bCs/>
          <w:color w:val="auto"/>
          <w:sz w:val="24"/>
          <w:highlight w:val="none"/>
        </w:rPr>
      </w:r>
      <w:r/>
    </w:p>
    <w:p>
      <w:pPr>
        <w:numPr>
          <w:ilvl w:val="0"/>
          <w:numId w:val="1"/>
        </w:numPr>
        <w:jc w:val="center"/>
        <w:spacing w:line="360" w:lineRule="auto"/>
        <w:rPr>
          <w:rFonts w:hint="eastAsia" w:asciiTheme="minorEastAsia" w:hAnsiTheme="minorEastAsia" w:eastAsiaTheme="minorEastAsia" w:cstheme="minorEastAsia"/>
          <w:b/>
          <w:bCs/>
          <w:color w:val="auto"/>
          <w:sz w:val="32"/>
          <w:szCs w:val="32"/>
        </w:rPr>
        <w:outlineLvl w:val="0"/>
      </w:pPr>
      <w:r/>
      <w:bookmarkStart w:id="14" w:name="_GoBack"/>
      <w:r/>
      <w:bookmarkEnd w:id="14"/>
      <w:r>
        <w:rPr>
          <w:rFonts w:hint="eastAsia" w:asciiTheme="minorEastAsia" w:hAnsiTheme="minorEastAsia" w:eastAsiaTheme="minorEastAsia" w:cstheme="minorEastAsia"/>
          <w:b/>
          <w:bCs/>
          <w:color w:val="auto"/>
          <w:sz w:val="32"/>
          <w:szCs w:val="32"/>
        </w:rPr>
        <w:t xml:space="preserve"> </w:t>
      </w:r>
      <w:bookmarkStart w:id="6" w:name="_Toc15665"/>
      <w:r/>
      <w:bookmarkStart w:id="7" w:name="_Toc17353"/>
      <w:r>
        <w:rPr>
          <w:rFonts w:hint="eastAsia" w:asciiTheme="minorEastAsia" w:hAnsiTheme="minorEastAsia" w:eastAsiaTheme="minorEastAsia" w:cstheme="minorEastAsia"/>
          <w:b/>
          <w:bCs/>
          <w:color w:val="auto"/>
          <w:sz w:val="32"/>
          <w:szCs w:val="32"/>
        </w:rPr>
        <w:t xml:space="preserve">评标标准</w:t>
      </w:r>
      <w:bookmarkEnd w:id="6"/>
      <w:r/>
      <w:bookmarkEnd w:id="7"/>
      <w:r/>
      <w:r/>
    </w:p>
    <w:tbl>
      <w:tblPr>
        <w:tblStyle w:val="86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1"/>
        <w:gridCol w:w="1394"/>
        <w:gridCol w:w="7479"/>
      </w:tblGrid>
      <w:tr>
        <w:trPr/>
        <w:tc>
          <w:tcPr>
            <w:gridSpan w:val="2"/>
            <w:tcW w:w="2375" w:type="dxa"/>
            <w:textDirection w:val="lrTb"/>
            <w:noWrap w:val="false"/>
          </w:tcPr>
          <w:p>
            <w:pPr>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评分内容</w:t>
            </w:r>
            <w:r/>
          </w:p>
        </w:tc>
        <w:tc>
          <w:tcPr>
            <w:tcW w:w="7479" w:type="dxa"/>
            <w:textDirection w:val="lrTb"/>
            <w:noWrap w:val="false"/>
          </w:tcPr>
          <w:p>
            <w:pPr>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评分标准</w:t>
            </w:r>
            <w:r/>
          </w:p>
        </w:tc>
      </w:tr>
      <w:tr>
        <w:trPr/>
        <w:tc>
          <w:tcPr>
            <w:gridSpan w:val="2"/>
            <w:tcW w:w="2375" w:type="dxa"/>
            <w:vAlign w:val="center"/>
            <w:textDirection w:val="lrTb"/>
            <w:noWrap w:val="false"/>
          </w:tcPr>
          <w:p>
            <w:pP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投标报价（</w:t>
            </w:r>
            <w:r>
              <w:rPr>
                <w:rFonts w:hint="eastAsia" w:asciiTheme="minorEastAsia" w:hAnsiTheme="minorEastAsia" w:eastAsiaTheme="minorEastAsia" w:cstheme="minorEastAsia"/>
                <w:color w:val="auto"/>
                <w:lang w:val="en-US" w:eastAsia="zh-CN"/>
              </w:rPr>
              <w:t xml:space="preserve">30</w:t>
            </w:r>
            <w:r>
              <w:rPr>
                <w:rFonts w:hint="eastAsia" w:asciiTheme="minorEastAsia" w:hAnsiTheme="minorEastAsia" w:eastAsiaTheme="minorEastAsia" w:cstheme="minorEastAsia"/>
                <w:color w:val="auto"/>
              </w:rPr>
              <w:t xml:space="preserve">分）</w:t>
            </w:r>
            <w:r/>
          </w:p>
        </w:tc>
        <w:tc>
          <w:tcPr>
            <w:tcW w:w="7479" w:type="dxa"/>
            <w:vAlign w:val="center"/>
            <w:textDirection w:val="lrTb"/>
            <w:noWrap w:val="false"/>
          </w:tcPr>
          <w:p>
            <w:pP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采用低价优先法计算，即满足招标文件要求且投标人评审价格最低的投标报价为评标基准价，其价格得分为满分；</w:t>
            </w:r>
            <w:r/>
          </w:p>
          <w:p>
            <w:pP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各投标人价格得分=评标基准价（投标人的最低评审价格）÷各投标人评审价格×</w:t>
            </w:r>
            <w:r>
              <w:rPr>
                <w:rFonts w:hint="eastAsia" w:asciiTheme="minorEastAsia" w:hAnsiTheme="minorEastAsia" w:eastAsiaTheme="minorEastAsia" w:cstheme="minorEastAsia"/>
                <w:color w:val="auto"/>
                <w:lang w:val="en-US" w:eastAsia="zh-CN"/>
              </w:rPr>
              <w:t xml:space="preserve">30</w:t>
            </w:r>
            <w:r>
              <w:rPr>
                <w:rFonts w:hint="eastAsia" w:asciiTheme="minorEastAsia" w:hAnsiTheme="minorEastAsia" w:eastAsiaTheme="minorEastAsia" w:cstheme="minorEastAsia"/>
                <w:color w:val="auto"/>
              </w:rPr>
              <w:t xml:space="preserve">。</w:t>
            </w:r>
            <w:r/>
          </w:p>
          <w:p>
            <w:pP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注：全部由符合政策要求的小微企业、监狱企业、享受政府采购支持政策的残疾人福利性单位承接的（以投标人提供的《中小企业声明函》、监狱企业证明文件和《残疾人福利性单位声明函》等相关材料为准），给予10%的价格扣除，用扣除后的价格参加评审。该投标人的评审价格=《开标一览表》中的“总价”*（100%-10%）</w:t>
            </w:r>
            <w:r/>
          </w:p>
          <w:p>
            <w:pP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得分四舍五入保留小数点后2位。</w:t>
            </w:r>
            <w:r/>
          </w:p>
        </w:tc>
      </w:tr>
      <w:tr>
        <w:trPr/>
        <w:tc>
          <w:tcPr>
            <w:tcW w:w="981" w:type="dxa"/>
            <w:vAlign w:val="center"/>
            <w:vMerge w:val="restart"/>
            <w:textDirection w:val="lrTb"/>
            <w:noWrap w:val="false"/>
          </w:tcPr>
          <w:p>
            <w:pPr>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商务部分</w:t>
            </w:r>
            <w:r/>
          </w:p>
          <w:p>
            <w:pPr>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w:t>
            </w:r>
            <w:r>
              <w:rPr>
                <w:rFonts w:hint="eastAsia" w:asciiTheme="minorEastAsia" w:hAnsiTheme="minorEastAsia" w:eastAsiaTheme="minorEastAsia" w:cstheme="minorEastAsia"/>
                <w:color w:val="auto"/>
                <w:lang w:val="en-US" w:eastAsia="zh-CN"/>
              </w:rPr>
              <w:t xml:space="preserve">20</w:t>
            </w:r>
            <w:r>
              <w:rPr>
                <w:rFonts w:hint="eastAsia" w:asciiTheme="minorEastAsia" w:hAnsiTheme="minorEastAsia" w:eastAsiaTheme="minorEastAsia" w:cstheme="minorEastAsia"/>
                <w:color w:val="auto"/>
              </w:rPr>
              <w:t xml:space="preserve">分）</w:t>
            </w:r>
            <w:r/>
          </w:p>
        </w:tc>
        <w:tc>
          <w:tcPr>
            <w:tcW w:w="1394" w:type="dxa"/>
            <w:vAlign w:val="center"/>
            <w:textDirection w:val="lrTb"/>
            <w:noWrap w:val="false"/>
          </w:tcPr>
          <w:p>
            <w:pPr>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拟派项目负责人（</w:t>
            </w:r>
            <w:r>
              <w:rPr>
                <w:rFonts w:hint="eastAsia" w:asciiTheme="minorEastAsia" w:hAnsiTheme="minorEastAsia" w:eastAsiaTheme="minorEastAsia" w:cstheme="minorEastAsia"/>
                <w:color w:val="auto"/>
                <w:lang w:val="en-US" w:eastAsia="zh-CN"/>
              </w:rPr>
              <w:t xml:space="preserve">5</w:t>
            </w:r>
            <w:r>
              <w:rPr>
                <w:rFonts w:hint="eastAsia" w:asciiTheme="minorEastAsia" w:hAnsiTheme="minorEastAsia" w:eastAsiaTheme="minorEastAsia" w:cstheme="minorEastAsia"/>
                <w:color w:val="auto"/>
              </w:rPr>
              <w:t xml:space="preserve">分）</w:t>
            </w:r>
            <w:r/>
          </w:p>
        </w:tc>
        <w:tc>
          <w:tcPr>
            <w:tcW w:w="7479" w:type="dxa"/>
            <w:vAlign w:val="center"/>
            <w:textDirection w:val="lrTb"/>
            <w:noWrap w:val="false"/>
          </w:tcPr>
          <w:p>
            <w:pP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1.项目负责人具有交通工程专业高级技术职称的得</w:t>
            </w:r>
            <w:r>
              <w:rPr>
                <w:rFonts w:hint="eastAsia" w:asciiTheme="minorEastAsia" w:hAnsiTheme="minorEastAsia" w:eastAsiaTheme="minorEastAsia" w:cstheme="minorEastAsia"/>
                <w:color w:val="auto"/>
                <w:lang w:val="en-US" w:eastAsia="zh-CN"/>
              </w:rPr>
              <w:t xml:space="preserve">2</w:t>
            </w:r>
            <w:r>
              <w:rPr>
                <w:rFonts w:hint="eastAsia" w:asciiTheme="minorEastAsia" w:hAnsiTheme="minorEastAsia" w:eastAsiaTheme="minorEastAsia" w:cstheme="minorEastAsia"/>
                <w:color w:val="auto"/>
              </w:rPr>
              <w:t xml:space="preserve">分，同时具有交通行政主管部门核发的公路工程试验检测工程师(桥梁专业)资格证书或公路水运工程试验检测师(桥梁隧道工程专业)资格证书的加</w:t>
            </w:r>
            <w:r>
              <w:rPr>
                <w:rFonts w:hint="eastAsia" w:asciiTheme="minorEastAsia" w:hAnsiTheme="minorEastAsia" w:eastAsiaTheme="minorEastAsia" w:cstheme="minorEastAsia"/>
                <w:color w:val="auto"/>
                <w:lang w:val="en-US" w:eastAsia="zh-CN"/>
              </w:rPr>
              <w:t xml:space="preserve">1</w:t>
            </w:r>
            <w:r>
              <w:rPr>
                <w:rFonts w:hint="eastAsia" w:asciiTheme="minorEastAsia" w:hAnsiTheme="minorEastAsia" w:eastAsiaTheme="minorEastAsia" w:cstheme="minorEastAsia"/>
                <w:color w:val="auto"/>
              </w:rPr>
              <w:t xml:space="preserve">分。</w:t>
            </w:r>
            <w:r>
              <w:rPr>
                <w:rFonts w:hint="eastAsia" w:asciiTheme="minorEastAsia" w:hAnsiTheme="minorEastAsia" w:eastAsiaTheme="minorEastAsia" w:cstheme="minorEastAsia"/>
                <w:color w:val="auto"/>
                <w:lang w:val="en-US" w:eastAsia="zh-CN"/>
              </w:rPr>
              <w:t xml:space="preserve">最高</w:t>
            </w:r>
            <w:r>
              <w:rPr>
                <w:rFonts w:hint="eastAsia" w:asciiTheme="minorEastAsia" w:hAnsiTheme="minorEastAsia" w:eastAsiaTheme="minorEastAsia" w:cstheme="minorEastAsia"/>
                <w:color w:val="auto"/>
              </w:rPr>
              <w:t xml:space="preserve">得</w:t>
            </w:r>
            <w:r>
              <w:rPr>
                <w:rFonts w:hint="eastAsia" w:asciiTheme="minorEastAsia" w:hAnsiTheme="minorEastAsia" w:eastAsiaTheme="minorEastAsia" w:cstheme="minorEastAsia"/>
                <w:color w:val="auto"/>
                <w:lang w:val="en-US" w:eastAsia="zh-CN"/>
              </w:rPr>
              <w:t xml:space="preserve">3</w:t>
            </w:r>
            <w:r>
              <w:rPr>
                <w:rFonts w:hint="eastAsia" w:asciiTheme="minorEastAsia" w:hAnsiTheme="minorEastAsia" w:eastAsiaTheme="minorEastAsia" w:cstheme="minorEastAsia"/>
                <w:color w:val="auto"/>
              </w:rPr>
              <w:t xml:space="preserve">分。（需要提供相关证书扫描件及近半年内任意一个月供应商为其缴纳的社会保险证明材料扫描件并加盖电子签章）。</w:t>
            </w:r>
            <w:r/>
          </w:p>
          <w:p>
            <w:pP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2.项目负责人自2021年1月1日以来担任过桥梁监测业绩的项目负责人或技术负责人，有一个得</w:t>
            </w:r>
            <w:r>
              <w:rPr>
                <w:rFonts w:hint="eastAsia" w:asciiTheme="minorEastAsia" w:hAnsiTheme="minorEastAsia" w:eastAsiaTheme="minorEastAsia" w:cstheme="minorEastAsia"/>
                <w:color w:val="auto"/>
                <w:lang w:val="en-US" w:eastAsia="zh-CN"/>
              </w:rPr>
              <w:t xml:space="preserve">1</w:t>
            </w:r>
            <w:r>
              <w:rPr>
                <w:rFonts w:hint="eastAsia" w:asciiTheme="minorEastAsia" w:hAnsiTheme="minorEastAsia" w:eastAsiaTheme="minorEastAsia" w:cstheme="minorEastAsia"/>
                <w:color w:val="auto"/>
              </w:rPr>
              <w:t xml:space="preserve">分，最高得2分。</w:t>
            </w:r>
            <w:r/>
          </w:p>
          <w:p>
            <w:pP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注：投标文件中同时提供合同原件扫描件、中标（成交）通知书扫描件，二者缺一不可并加盖电子签章，业绩证明中须包含项目负责人信息。未提供或不是项目负责人业绩的不得分。</w:t>
            </w:r>
            <w:r/>
          </w:p>
        </w:tc>
      </w:tr>
      <w:tr>
        <w:trPr/>
        <w:tc>
          <w:tcPr>
            <w:tcW w:w="981" w:type="dxa"/>
            <w:vAlign w:val="center"/>
            <w:vMerge w:val="continue"/>
            <w:textDirection w:val="lrTb"/>
            <w:noWrap w:val="false"/>
          </w:tcPr>
          <w:p>
            <w:pP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tc>
        <w:tc>
          <w:tcPr>
            <w:tcW w:w="1394" w:type="dxa"/>
            <w:vAlign w:val="center"/>
            <w:textDirection w:val="lrTb"/>
            <w:noWrap w:val="false"/>
          </w:tcPr>
          <w:p>
            <w:pPr>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技术负责人</w:t>
            </w:r>
            <w:r/>
          </w:p>
          <w:p>
            <w:pPr>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（5分）</w:t>
            </w:r>
            <w:r/>
          </w:p>
        </w:tc>
        <w:tc>
          <w:tcPr>
            <w:tcW w:w="7479" w:type="dxa"/>
            <w:vAlign w:val="center"/>
            <w:textDirection w:val="lrTb"/>
            <w:noWrap w:val="false"/>
          </w:tcPr>
          <w:p>
            <w:pP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技术负责人具有交通工程专业高级技术职称的得3分，同时具有交通行政主管部门核发的试验检测工程师证书（桥梁专业）或公路水运工程试验检测师证书（桥梁隧道工程专业）的加2分。</w:t>
            </w:r>
            <w:r>
              <w:rPr>
                <w:rFonts w:hint="eastAsia" w:asciiTheme="minorEastAsia" w:hAnsiTheme="minorEastAsia" w:eastAsiaTheme="minorEastAsia" w:cstheme="minorEastAsia"/>
                <w:color w:val="auto"/>
                <w:lang w:val="en-US" w:eastAsia="zh-CN"/>
              </w:rPr>
              <w:t xml:space="preserve">最高</w:t>
            </w:r>
            <w:r>
              <w:rPr>
                <w:rFonts w:hint="eastAsia" w:asciiTheme="minorEastAsia" w:hAnsiTheme="minorEastAsia" w:eastAsiaTheme="minorEastAsia" w:cstheme="minorEastAsia"/>
                <w:color w:val="auto"/>
              </w:rPr>
              <w:t xml:space="preserve">得5分。（提供相关证书扫描件及近半年内任意一个月供应商为其缴纳的社会保险证明材料扫描件并加盖电子签章）。</w:t>
            </w:r>
            <w:r/>
          </w:p>
        </w:tc>
      </w:tr>
      <w:tr>
        <w:trPr/>
        <w:tc>
          <w:tcPr>
            <w:tcW w:w="981" w:type="dxa"/>
            <w:vAlign w:val="center"/>
            <w:vMerge w:val="continue"/>
            <w:textDirection w:val="lrTb"/>
            <w:noWrap w:val="false"/>
          </w:tcPr>
          <w:p>
            <w:pP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tc>
        <w:tc>
          <w:tcPr>
            <w:tcW w:w="1394" w:type="dxa"/>
            <w:vAlign w:val="center"/>
            <w:textDirection w:val="lrTb"/>
            <w:noWrap w:val="false"/>
          </w:tcPr>
          <w:p>
            <w:pPr>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企业业绩</w:t>
            </w:r>
            <w:r/>
          </w:p>
          <w:p>
            <w:pPr>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w:t>
            </w:r>
            <w:r>
              <w:rPr>
                <w:rFonts w:hint="eastAsia" w:asciiTheme="minorEastAsia" w:hAnsiTheme="minorEastAsia" w:eastAsiaTheme="minorEastAsia" w:cstheme="minorEastAsia"/>
                <w:color w:val="auto"/>
                <w:lang w:val="en-US" w:eastAsia="zh-CN"/>
              </w:rPr>
              <w:t xml:space="preserve">4</w:t>
            </w:r>
            <w:r>
              <w:rPr>
                <w:rFonts w:hint="eastAsia" w:asciiTheme="minorEastAsia" w:hAnsiTheme="minorEastAsia" w:eastAsiaTheme="minorEastAsia" w:cstheme="minorEastAsia"/>
                <w:color w:val="auto"/>
              </w:rPr>
              <w:t xml:space="preserve">分）</w:t>
            </w:r>
            <w:r/>
          </w:p>
        </w:tc>
        <w:tc>
          <w:tcPr>
            <w:tcW w:w="7479" w:type="dxa"/>
            <w:vAlign w:val="center"/>
            <w:textDirection w:val="lrTb"/>
            <w:noWrap w:val="false"/>
          </w:tcPr>
          <w:p>
            <w:pP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企业自2021年1月1日以后，承担过桥梁健康监测或运营监测或安全监测项目的，每提供一个得</w:t>
            </w:r>
            <w:r>
              <w:rPr>
                <w:rFonts w:hint="eastAsia" w:asciiTheme="minorEastAsia" w:hAnsiTheme="minorEastAsia" w:eastAsiaTheme="minorEastAsia" w:cstheme="minorEastAsia"/>
                <w:color w:val="auto"/>
                <w:lang w:val="en-US" w:eastAsia="zh-CN"/>
              </w:rPr>
              <w:t xml:space="preserve">2</w:t>
            </w:r>
            <w:r>
              <w:rPr>
                <w:rFonts w:hint="eastAsia" w:asciiTheme="minorEastAsia" w:hAnsiTheme="minorEastAsia" w:eastAsiaTheme="minorEastAsia" w:cstheme="minorEastAsia"/>
                <w:color w:val="auto"/>
              </w:rPr>
              <w:t xml:space="preserve">分，最高得</w:t>
            </w:r>
            <w:r>
              <w:rPr>
                <w:rFonts w:hint="eastAsia" w:asciiTheme="minorEastAsia" w:hAnsiTheme="minorEastAsia" w:eastAsiaTheme="minorEastAsia" w:cstheme="minorEastAsia"/>
                <w:color w:val="auto"/>
                <w:lang w:val="en-US" w:eastAsia="zh-CN"/>
              </w:rPr>
              <w:t xml:space="preserve">4</w:t>
            </w:r>
            <w:r>
              <w:rPr>
                <w:rFonts w:hint="eastAsia" w:asciiTheme="minorEastAsia" w:hAnsiTheme="minorEastAsia" w:eastAsiaTheme="minorEastAsia" w:cstheme="minorEastAsia"/>
                <w:color w:val="auto"/>
              </w:rPr>
              <w:t xml:space="preserve">分。</w:t>
            </w:r>
            <w:r/>
          </w:p>
          <w:p>
            <w:pP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注：</w:t>
            </w:r>
            <w:r/>
          </w:p>
          <w:p>
            <w:pP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1.投标文件中同时提供合同原件扫描件、中标（成交）通知书扫描件，二者缺一不可并加盖电子签章，未提供不得分，业绩合同中主要内容清晰可见，提供内容模糊不清的不得分。</w:t>
            </w:r>
            <w:r/>
          </w:p>
          <w:p>
            <w:pPr>
              <w:pStyle w:val="856"/>
              <w:ind w:left="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2.企业业绩与项目负责人业绩不重复计分。</w:t>
            </w:r>
            <w:r/>
          </w:p>
        </w:tc>
      </w:tr>
      <w:tr>
        <w:trPr/>
        <w:tc>
          <w:tcPr>
            <w:tcW w:w="981" w:type="dxa"/>
            <w:vAlign w:val="center"/>
            <w:vMerge w:val="continue"/>
            <w:textDirection w:val="lrTb"/>
            <w:noWrap w:val="false"/>
          </w:tcPr>
          <w:p>
            <w:pP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tc>
        <w:tc>
          <w:tcPr>
            <w:tcW w:w="1394" w:type="dxa"/>
            <w:vAlign w:val="center"/>
            <w:textDirection w:val="lrTb"/>
            <w:noWrap w:val="false"/>
          </w:tcPr>
          <w:p>
            <w:pPr>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投标人评价</w:t>
            </w:r>
            <w:r/>
          </w:p>
          <w:p>
            <w:pPr>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（6分）</w:t>
            </w:r>
            <w:r/>
          </w:p>
        </w:tc>
        <w:tc>
          <w:tcPr>
            <w:tcW w:w="7479" w:type="dxa"/>
            <w:vAlign w:val="center"/>
            <w:textDirection w:val="lrTb"/>
            <w:noWrap w:val="false"/>
          </w:tcPr>
          <w:p>
            <w:pP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投标人或核心产品制造商具有质量管理体系认证证书、环境管理体系认证证书、职业健康安全管理体系认证证书，每提供一项得2分，本项最高得6分。</w:t>
            </w:r>
            <w:r/>
          </w:p>
          <w:p>
            <w:pP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注：须提供有效的证书原件扫描件加盖电子签章。</w:t>
            </w:r>
            <w:r/>
          </w:p>
        </w:tc>
      </w:tr>
      <w:tr>
        <w:trPr/>
        <w:tc>
          <w:tcPr>
            <w:tcW w:w="981" w:type="dxa"/>
            <w:vAlign w:val="center"/>
            <w:vMerge w:val="restart"/>
            <w:textDirection w:val="lrTb"/>
            <w:noWrap w:val="false"/>
          </w:tcPr>
          <w:p>
            <w:pP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技术部分（</w:t>
            </w:r>
            <w:r>
              <w:rPr>
                <w:rFonts w:hint="eastAsia" w:asciiTheme="minorEastAsia" w:hAnsiTheme="minorEastAsia" w:eastAsiaTheme="minorEastAsia" w:cstheme="minorEastAsia"/>
                <w:color w:val="auto"/>
                <w:lang w:val="en-US" w:eastAsia="zh-CN"/>
              </w:rPr>
              <w:t xml:space="preserve">50</w:t>
            </w:r>
            <w:r>
              <w:rPr>
                <w:rFonts w:hint="eastAsia" w:asciiTheme="minorEastAsia" w:hAnsiTheme="minorEastAsia" w:eastAsiaTheme="minorEastAsia" w:cstheme="minorEastAsia"/>
                <w:color w:val="auto"/>
              </w:rPr>
              <w:t xml:space="preserve">分）</w:t>
            </w:r>
            <w:r/>
          </w:p>
        </w:tc>
        <w:tc>
          <w:tcPr>
            <w:tcW w:w="1394" w:type="dxa"/>
            <w:vAlign w:val="center"/>
            <w:textDirection w:val="lrTb"/>
            <w:noWrap w:val="false"/>
          </w:tcPr>
          <w:p>
            <w:pPr>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项目实施方案（</w:t>
            </w:r>
            <w:r>
              <w:rPr>
                <w:rFonts w:hint="eastAsia" w:asciiTheme="minorEastAsia" w:hAnsiTheme="minorEastAsia" w:eastAsiaTheme="minorEastAsia" w:cstheme="minorEastAsia"/>
                <w:color w:val="auto"/>
                <w:lang w:val="en-US" w:eastAsia="zh-CN"/>
              </w:rPr>
              <w:t xml:space="preserve">12</w:t>
            </w:r>
            <w:r>
              <w:rPr>
                <w:rFonts w:hint="eastAsia" w:asciiTheme="minorEastAsia" w:hAnsiTheme="minorEastAsia" w:eastAsiaTheme="minorEastAsia" w:cstheme="minorEastAsia"/>
                <w:color w:val="auto"/>
              </w:rPr>
              <w:t xml:space="preserve">分）</w:t>
            </w:r>
            <w:r/>
          </w:p>
        </w:tc>
        <w:tc>
          <w:tcPr>
            <w:tcW w:w="7479" w:type="dxa"/>
            <w:vAlign w:val="center"/>
            <w:textDirection w:val="lrTb"/>
            <w:noWrap w:val="false"/>
          </w:tcPr>
          <w:p>
            <w:pP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根据投标文件中提供的项目实施计划、项目进度保障、安全保障、质量保障、人员管理、技术培训、仪器设备安装、调试及验收方案的全面性、可行性、针对性进行打分。</w:t>
            </w:r>
            <w:r/>
          </w:p>
          <w:p>
            <w:pP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需求理解准确完整，对工作内容认识全面得</w:t>
            </w:r>
            <w:r>
              <w:rPr>
                <w:rFonts w:hint="eastAsia" w:asciiTheme="minorEastAsia" w:hAnsiTheme="minorEastAsia" w:eastAsiaTheme="minorEastAsia" w:cstheme="minorEastAsia"/>
                <w:color w:val="auto"/>
                <w:lang w:val="en-US" w:eastAsia="zh-CN"/>
              </w:rPr>
              <w:t xml:space="preserve">12</w:t>
            </w:r>
            <w:r>
              <w:rPr>
                <w:rFonts w:hint="eastAsia" w:asciiTheme="minorEastAsia" w:hAnsiTheme="minorEastAsia" w:eastAsiaTheme="minorEastAsia" w:cstheme="minorEastAsia"/>
                <w:color w:val="auto"/>
              </w:rPr>
              <w:t xml:space="preserve">分；需求理解准确但不完整，对工作内容认识较为全面得</w:t>
            </w:r>
            <w:r>
              <w:rPr>
                <w:rFonts w:hint="eastAsia" w:asciiTheme="minorEastAsia" w:hAnsiTheme="minorEastAsia" w:eastAsiaTheme="minorEastAsia" w:cstheme="minorEastAsia"/>
                <w:color w:val="auto"/>
                <w:lang w:val="en-US" w:eastAsia="zh-CN"/>
              </w:rPr>
              <w:t xml:space="preserve">9</w:t>
            </w:r>
            <w:r>
              <w:rPr>
                <w:rFonts w:hint="eastAsia" w:asciiTheme="minorEastAsia" w:hAnsiTheme="minorEastAsia" w:eastAsiaTheme="minorEastAsia" w:cstheme="minorEastAsia"/>
                <w:color w:val="auto"/>
              </w:rPr>
              <w:t xml:space="preserve">分；需求理解及工作认识基本满足项目需求得</w:t>
            </w:r>
            <w:r>
              <w:rPr>
                <w:rFonts w:hint="eastAsia" w:asciiTheme="minorEastAsia" w:hAnsiTheme="minorEastAsia" w:eastAsiaTheme="minorEastAsia" w:cstheme="minorEastAsia"/>
                <w:color w:val="auto"/>
                <w:lang w:val="en-US" w:eastAsia="zh-CN"/>
              </w:rPr>
              <w:t xml:space="preserve">6</w:t>
            </w:r>
            <w:r>
              <w:rPr>
                <w:rFonts w:hint="eastAsia" w:asciiTheme="minorEastAsia" w:hAnsiTheme="minorEastAsia" w:eastAsiaTheme="minorEastAsia" w:cstheme="minorEastAsia"/>
                <w:color w:val="auto"/>
              </w:rPr>
              <w:t xml:space="preserve">分；需求理解部分准确，对工作内容认识较为片面得</w:t>
            </w:r>
            <w:r>
              <w:rPr>
                <w:rFonts w:hint="eastAsia" w:asciiTheme="minorEastAsia" w:hAnsiTheme="minorEastAsia" w:eastAsiaTheme="minorEastAsia" w:cstheme="minorEastAsia"/>
                <w:color w:val="auto"/>
                <w:lang w:val="en-US" w:eastAsia="zh-CN"/>
              </w:rPr>
              <w:t xml:space="preserve">3</w:t>
            </w:r>
            <w:r>
              <w:rPr>
                <w:rFonts w:hint="eastAsia" w:asciiTheme="minorEastAsia" w:hAnsiTheme="minorEastAsia" w:eastAsiaTheme="minorEastAsia" w:cstheme="minorEastAsia"/>
                <w:color w:val="auto"/>
              </w:rPr>
              <w:t xml:space="preserve">分；无内容不得分。</w:t>
            </w:r>
            <w:r/>
          </w:p>
        </w:tc>
      </w:tr>
      <w:tr>
        <w:trPr/>
        <w:tc>
          <w:tcPr>
            <w:tcW w:w="981" w:type="dxa"/>
            <w:vAlign w:val="center"/>
            <w:vMerge w:val="continue"/>
            <w:textDirection w:val="lrTb"/>
            <w:noWrap w:val="false"/>
          </w:tcPr>
          <w:p>
            <w:pP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tc>
        <w:tc>
          <w:tcPr>
            <w:tcW w:w="1394" w:type="dxa"/>
            <w:vAlign w:val="center"/>
            <w:textDirection w:val="lrTb"/>
            <w:noWrap w:val="false"/>
          </w:tcPr>
          <w:p>
            <w:pPr>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监测工作的程序与方法</w:t>
            </w:r>
            <w:r/>
          </w:p>
          <w:p>
            <w:pPr>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w:t>
            </w:r>
            <w:r>
              <w:rPr>
                <w:rFonts w:hint="eastAsia" w:asciiTheme="minorEastAsia" w:hAnsiTheme="minorEastAsia" w:eastAsiaTheme="minorEastAsia" w:cstheme="minorEastAsia"/>
                <w:color w:val="auto"/>
                <w:lang w:val="en-US" w:eastAsia="zh-CN"/>
              </w:rPr>
              <w:t xml:space="preserve">12</w:t>
            </w:r>
            <w:r>
              <w:rPr>
                <w:rFonts w:hint="eastAsia" w:asciiTheme="minorEastAsia" w:hAnsiTheme="minorEastAsia" w:eastAsiaTheme="minorEastAsia" w:cstheme="minorEastAsia"/>
                <w:color w:val="auto"/>
              </w:rPr>
              <w:t xml:space="preserve">分）</w:t>
            </w:r>
            <w:r/>
          </w:p>
        </w:tc>
        <w:tc>
          <w:tcPr>
            <w:tcW w:w="7479" w:type="dxa"/>
            <w:vAlign w:val="center"/>
            <w:textDirection w:val="lrTb"/>
            <w:noWrap w:val="false"/>
          </w:tcPr>
          <w:p>
            <w:pP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监测工作的程序、监测的内容、方法、监测频率、监测手段、监测资料及分析报告、最终报告的可行性及针对性。需求理解准确完整，对工作内容认识全面得1</w:t>
            </w:r>
            <w:r>
              <w:rPr>
                <w:rFonts w:hint="eastAsia" w:asciiTheme="minorEastAsia" w:hAnsiTheme="minorEastAsia" w:eastAsiaTheme="minorEastAsia" w:cstheme="minorEastAsia"/>
                <w:color w:val="auto"/>
                <w:lang w:val="en-US" w:eastAsia="zh-CN"/>
              </w:rPr>
              <w:t xml:space="preserve">2</w:t>
            </w:r>
            <w:r>
              <w:rPr>
                <w:rFonts w:hint="eastAsia" w:asciiTheme="minorEastAsia" w:hAnsiTheme="minorEastAsia" w:eastAsiaTheme="minorEastAsia" w:cstheme="minorEastAsia"/>
                <w:color w:val="auto"/>
              </w:rPr>
              <w:t xml:space="preserve">分；需求理解准确但不完整，对工作内容认识较为全面得</w:t>
            </w:r>
            <w:r>
              <w:rPr>
                <w:rFonts w:hint="eastAsia" w:asciiTheme="minorEastAsia" w:hAnsiTheme="minorEastAsia" w:eastAsiaTheme="minorEastAsia" w:cstheme="minorEastAsia"/>
                <w:color w:val="auto"/>
                <w:lang w:val="en-US" w:eastAsia="zh-CN"/>
              </w:rPr>
              <w:t xml:space="preserve">9</w:t>
            </w:r>
            <w:r>
              <w:rPr>
                <w:rFonts w:hint="eastAsia" w:asciiTheme="minorEastAsia" w:hAnsiTheme="minorEastAsia" w:eastAsiaTheme="minorEastAsia" w:cstheme="minorEastAsia"/>
                <w:color w:val="auto"/>
              </w:rPr>
              <w:t xml:space="preserve">分；需求理解及工作认识基本满足项目需求得</w:t>
            </w:r>
            <w:r>
              <w:rPr>
                <w:rFonts w:hint="eastAsia" w:asciiTheme="minorEastAsia" w:hAnsiTheme="minorEastAsia" w:eastAsiaTheme="minorEastAsia" w:cstheme="minorEastAsia"/>
                <w:color w:val="auto"/>
                <w:lang w:val="en-US" w:eastAsia="zh-CN"/>
              </w:rPr>
              <w:t xml:space="preserve">6</w:t>
            </w:r>
            <w:r>
              <w:rPr>
                <w:rFonts w:hint="eastAsia" w:asciiTheme="minorEastAsia" w:hAnsiTheme="minorEastAsia" w:eastAsiaTheme="minorEastAsia" w:cstheme="minorEastAsia"/>
                <w:color w:val="auto"/>
              </w:rPr>
              <w:t xml:space="preserve">分；需求理解部分准确，对工作内容认识较为片面得</w:t>
            </w:r>
            <w:r>
              <w:rPr>
                <w:rFonts w:hint="eastAsia" w:asciiTheme="minorEastAsia" w:hAnsiTheme="minorEastAsia" w:eastAsiaTheme="minorEastAsia" w:cstheme="minorEastAsia"/>
                <w:color w:val="auto"/>
                <w:lang w:val="en-US" w:eastAsia="zh-CN"/>
              </w:rPr>
              <w:t xml:space="preserve">3</w:t>
            </w:r>
            <w:r>
              <w:rPr>
                <w:rFonts w:hint="eastAsia" w:asciiTheme="minorEastAsia" w:hAnsiTheme="minorEastAsia" w:eastAsiaTheme="minorEastAsia" w:cstheme="minorEastAsia"/>
                <w:color w:val="auto"/>
              </w:rPr>
              <w:t xml:space="preserve">分；无内容不得分。</w:t>
            </w:r>
            <w:r/>
          </w:p>
        </w:tc>
      </w:tr>
      <w:tr>
        <w:trPr/>
        <w:tc>
          <w:tcPr>
            <w:tcW w:w="981" w:type="dxa"/>
            <w:vAlign w:val="center"/>
            <w:vMerge w:val="continue"/>
            <w:textDirection w:val="lrTb"/>
            <w:noWrap w:val="false"/>
          </w:tcPr>
          <w:p>
            <w:pP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tc>
        <w:tc>
          <w:tcPr>
            <w:tcW w:w="1394" w:type="dxa"/>
            <w:vAlign w:val="center"/>
            <w:textDirection w:val="lrTb"/>
            <w:noWrap w:val="false"/>
          </w:tcPr>
          <w:p>
            <w:pPr>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监测工作服务的目标及保证措施</w:t>
            </w:r>
            <w:r/>
          </w:p>
          <w:p>
            <w:pPr>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w:t>
            </w:r>
            <w:r>
              <w:rPr>
                <w:rFonts w:hint="eastAsia" w:asciiTheme="minorEastAsia" w:hAnsiTheme="minorEastAsia" w:eastAsiaTheme="minorEastAsia" w:cstheme="minorEastAsia"/>
                <w:color w:val="auto"/>
                <w:lang w:val="en-US" w:eastAsia="zh-CN"/>
              </w:rPr>
              <w:t xml:space="preserve">12</w:t>
            </w:r>
            <w:r>
              <w:rPr>
                <w:rFonts w:hint="eastAsia" w:asciiTheme="minorEastAsia" w:hAnsiTheme="minorEastAsia" w:eastAsiaTheme="minorEastAsia" w:cstheme="minorEastAsia"/>
                <w:color w:val="auto"/>
              </w:rPr>
              <w:t xml:space="preserve">分）</w:t>
            </w:r>
            <w:r/>
          </w:p>
        </w:tc>
        <w:tc>
          <w:tcPr>
            <w:tcW w:w="7479" w:type="dxa"/>
            <w:vAlign w:val="center"/>
            <w:textDirection w:val="lrTb"/>
            <w:noWrap w:val="false"/>
          </w:tcPr>
          <w:p>
            <w:pP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根据工作量及计划安排科学合理，各阶段的工作量分析预计全面，无遗漏；关键线路清晰准确完整，计划编制合理可行；各阶段工作任务的布置科学合理，关键节点的控制措施有力合理可行。合理性、协调性强、可行性强得</w:t>
            </w:r>
            <w:r>
              <w:rPr>
                <w:rFonts w:hint="eastAsia" w:asciiTheme="minorEastAsia" w:hAnsiTheme="minorEastAsia" w:eastAsiaTheme="minorEastAsia" w:cstheme="minorEastAsia"/>
                <w:color w:val="auto"/>
                <w:lang w:val="en-US" w:eastAsia="zh-CN"/>
              </w:rPr>
              <w:t xml:space="preserve">12</w:t>
            </w:r>
            <w:r>
              <w:rPr>
                <w:rFonts w:hint="eastAsia" w:asciiTheme="minorEastAsia" w:hAnsiTheme="minorEastAsia" w:eastAsiaTheme="minorEastAsia" w:cstheme="minorEastAsia"/>
                <w:color w:val="auto"/>
              </w:rPr>
              <w:t xml:space="preserve">分；合理性较强、协调性较好、可行性较好得</w:t>
            </w:r>
            <w:r>
              <w:rPr>
                <w:rFonts w:hint="eastAsia" w:asciiTheme="minorEastAsia" w:hAnsiTheme="minorEastAsia" w:eastAsiaTheme="minorEastAsia" w:cstheme="minorEastAsia"/>
                <w:color w:val="auto"/>
                <w:lang w:val="en-US" w:eastAsia="zh-CN"/>
              </w:rPr>
              <w:t xml:space="preserve">9</w:t>
            </w:r>
            <w:r>
              <w:rPr>
                <w:rFonts w:hint="eastAsia" w:asciiTheme="minorEastAsia" w:hAnsiTheme="minorEastAsia" w:eastAsiaTheme="minorEastAsia" w:cstheme="minorEastAsia"/>
                <w:color w:val="auto"/>
              </w:rPr>
              <w:t xml:space="preserve">分；合理性较强、协调性较好，基本满足项目需求得</w:t>
            </w:r>
            <w:r>
              <w:rPr>
                <w:rFonts w:hint="eastAsia" w:asciiTheme="minorEastAsia" w:hAnsiTheme="minorEastAsia" w:eastAsiaTheme="minorEastAsia" w:cstheme="minorEastAsia"/>
                <w:color w:val="auto"/>
                <w:lang w:val="en-US" w:eastAsia="zh-CN"/>
              </w:rPr>
              <w:t xml:space="preserve">6</w:t>
            </w:r>
            <w:r>
              <w:rPr>
                <w:rFonts w:hint="eastAsia" w:asciiTheme="minorEastAsia" w:hAnsiTheme="minorEastAsia" w:eastAsiaTheme="minorEastAsia" w:cstheme="minorEastAsia"/>
                <w:color w:val="auto"/>
              </w:rPr>
              <w:t xml:space="preserve">分；可行性较好，其他存在不足得</w:t>
            </w:r>
            <w:r>
              <w:rPr>
                <w:rFonts w:hint="eastAsia" w:asciiTheme="minorEastAsia" w:hAnsiTheme="minorEastAsia" w:eastAsiaTheme="minorEastAsia" w:cstheme="minorEastAsia"/>
                <w:color w:val="auto"/>
                <w:lang w:val="en-US" w:eastAsia="zh-CN"/>
              </w:rPr>
              <w:t xml:space="preserve">3</w:t>
            </w:r>
            <w:r>
              <w:rPr>
                <w:rFonts w:hint="eastAsia" w:asciiTheme="minorEastAsia" w:hAnsiTheme="minorEastAsia" w:eastAsiaTheme="minorEastAsia" w:cstheme="minorEastAsia"/>
                <w:color w:val="auto"/>
              </w:rPr>
              <w:t xml:space="preserve">分；无内容不得分。</w:t>
            </w:r>
            <w:r/>
          </w:p>
        </w:tc>
      </w:tr>
      <w:tr>
        <w:trPr/>
        <w:tc>
          <w:tcPr>
            <w:tcW w:w="981" w:type="dxa"/>
            <w:vAlign w:val="center"/>
            <w:vMerge w:val="continue"/>
            <w:textDirection w:val="lrTb"/>
            <w:noWrap w:val="false"/>
          </w:tcPr>
          <w:p>
            <w:pP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tc>
        <w:tc>
          <w:tcPr>
            <w:tcW w:w="1394" w:type="dxa"/>
            <w:vAlign w:val="center"/>
            <w:textDirection w:val="lrTb"/>
            <w:noWrap w:val="false"/>
          </w:tcPr>
          <w:p>
            <w:pPr>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本项目的重点和难点分析及对策措施</w:t>
            </w:r>
            <w:r/>
          </w:p>
          <w:p>
            <w:pPr>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w:t>
            </w:r>
            <w:r>
              <w:rPr>
                <w:rFonts w:hint="eastAsia" w:asciiTheme="minorEastAsia" w:hAnsiTheme="minorEastAsia" w:eastAsiaTheme="minorEastAsia" w:cstheme="minorEastAsia"/>
                <w:color w:val="auto"/>
                <w:lang w:val="en-US" w:eastAsia="zh-CN"/>
              </w:rPr>
              <w:t xml:space="preserve">7</w:t>
            </w:r>
            <w:r>
              <w:rPr>
                <w:rFonts w:hint="eastAsia" w:asciiTheme="minorEastAsia" w:hAnsiTheme="minorEastAsia" w:eastAsiaTheme="minorEastAsia" w:cstheme="minorEastAsia"/>
                <w:color w:val="auto"/>
              </w:rPr>
              <w:t xml:space="preserve">分）</w:t>
            </w:r>
            <w:r/>
          </w:p>
        </w:tc>
        <w:tc>
          <w:tcPr>
            <w:tcW w:w="7479" w:type="dxa"/>
            <w:vAlign w:val="center"/>
            <w:textDirection w:val="lrTb"/>
            <w:noWrap w:val="false"/>
          </w:tcPr>
          <w:p>
            <w:pP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根据投标文件中关键技术问题、重点难点分析精确到位、且对策措施科学合理、可行。合理性、可行性强得</w:t>
            </w:r>
            <w:r>
              <w:rPr>
                <w:rFonts w:hint="eastAsia" w:asciiTheme="minorEastAsia" w:hAnsiTheme="minorEastAsia" w:eastAsiaTheme="minorEastAsia" w:cstheme="minorEastAsia"/>
                <w:color w:val="auto"/>
                <w:lang w:val="en-US" w:eastAsia="zh-CN"/>
              </w:rPr>
              <w:t xml:space="preserve">7</w:t>
            </w:r>
            <w:r>
              <w:rPr>
                <w:rFonts w:hint="eastAsia" w:asciiTheme="minorEastAsia" w:hAnsiTheme="minorEastAsia" w:eastAsiaTheme="minorEastAsia" w:cstheme="minorEastAsia"/>
                <w:color w:val="auto"/>
              </w:rPr>
              <w:t xml:space="preserve">分；合理性较强、可行性较好得</w:t>
            </w:r>
            <w:r>
              <w:rPr>
                <w:rFonts w:hint="eastAsia" w:asciiTheme="minorEastAsia" w:hAnsiTheme="minorEastAsia" w:eastAsiaTheme="minorEastAsia" w:cstheme="minorEastAsia"/>
                <w:color w:val="auto"/>
                <w:lang w:val="en-US" w:eastAsia="zh-CN"/>
              </w:rPr>
              <w:t xml:space="preserve">5</w:t>
            </w:r>
            <w:r>
              <w:rPr>
                <w:rFonts w:hint="eastAsia" w:asciiTheme="minorEastAsia" w:hAnsiTheme="minorEastAsia" w:eastAsiaTheme="minorEastAsia" w:cstheme="minorEastAsia"/>
                <w:color w:val="auto"/>
              </w:rPr>
              <w:t xml:space="preserve">分；合理性较强、协调性较好，基本满足项目需求得</w:t>
            </w:r>
            <w:r>
              <w:rPr>
                <w:rFonts w:hint="eastAsia" w:asciiTheme="minorEastAsia" w:hAnsiTheme="minorEastAsia" w:eastAsiaTheme="minorEastAsia" w:cstheme="minorEastAsia"/>
                <w:color w:val="auto"/>
                <w:lang w:val="en-US" w:eastAsia="zh-CN"/>
              </w:rPr>
              <w:t xml:space="preserve">3</w:t>
            </w:r>
            <w:r>
              <w:rPr>
                <w:rFonts w:hint="eastAsia" w:asciiTheme="minorEastAsia" w:hAnsiTheme="minorEastAsia" w:eastAsiaTheme="minorEastAsia" w:cstheme="minorEastAsia"/>
                <w:color w:val="auto"/>
              </w:rPr>
              <w:t xml:space="preserve">分；可行性较好，其他存在不足得</w:t>
            </w:r>
            <w:r>
              <w:rPr>
                <w:rFonts w:hint="eastAsia" w:asciiTheme="minorEastAsia" w:hAnsiTheme="minorEastAsia" w:eastAsiaTheme="minorEastAsia" w:cstheme="minorEastAsia"/>
                <w:color w:val="auto"/>
                <w:lang w:val="en-US" w:eastAsia="zh-CN"/>
              </w:rPr>
              <w:t xml:space="preserve">1</w:t>
            </w:r>
            <w:r>
              <w:rPr>
                <w:rFonts w:hint="eastAsia" w:asciiTheme="minorEastAsia" w:hAnsiTheme="minorEastAsia" w:eastAsiaTheme="minorEastAsia" w:cstheme="minorEastAsia"/>
                <w:color w:val="auto"/>
              </w:rPr>
              <w:t xml:space="preserve">分；无内容不得分。</w:t>
            </w:r>
            <w:r/>
          </w:p>
        </w:tc>
      </w:tr>
      <w:tr>
        <w:trPr/>
        <w:tc>
          <w:tcPr>
            <w:tcW w:w="981" w:type="dxa"/>
            <w:vAlign w:val="center"/>
            <w:vMerge w:val="continue"/>
            <w:textDirection w:val="lrTb"/>
            <w:noWrap w:val="false"/>
          </w:tcPr>
          <w:p>
            <w:pP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tc>
        <w:tc>
          <w:tcPr>
            <w:tcW w:w="1394" w:type="dxa"/>
            <w:vAlign w:val="center"/>
            <w:textDirection w:val="lrTb"/>
            <w:noWrap w:val="false"/>
          </w:tcPr>
          <w:p>
            <w:pPr>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合理化建议</w:t>
            </w:r>
            <w:r/>
          </w:p>
          <w:p>
            <w:pPr>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（7分）</w:t>
            </w:r>
            <w:r/>
          </w:p>
        </w:tc>
        <w:tc>
          <w:tcPr>
            <w:tcW w:w="7479" w:type="dxa"/>
            <w:vAlign w:val="center"/>
            <w:textDirection w:val="lrTb"/>
            <w:noWrap w:val="false"/>
          </w:tcPr>
          <w:p>
            <w:pP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根据投标人对本招标项目的合理化建议是否切实可行进行评价。合理性、可行性强得7分；合理性较强、可行性较好得5分；合理性较强、协调性较好，基本满足项目需求得3分；可行性较好，其他存在不足得1分；无内容不得分。</w:t>
            </w:r>
            <w:r/>
          </w:p>
        </w:tc>
      </w:tr>
    </w:tbl>
    <w:p>
      <w:pP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本章说明：本项目采用综合评分法，评分结果精确到小数点后两位。</w:t>
      </w:r>
      <w:r/>
    </w:p>
    <w:p>
      <w:pPr>
        <w:pStyle w:val="856"/>
        <w:ind w:left="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pStyle w:val="856"/>
        <w:ind w:left="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pStyle w:val="856"/>
        <w:ind w:left="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pStyle w:val="856"/>
        <w:ind w:left="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pStyle w:val="856"/>
        <w:ind w:left="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pStyle w:val="856"/>
        <w:ind w:left="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pStyle w:val="856"/>
        <w:ind w:left="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pStyle w:val="856"/>
        <w:ind w:left="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pStyle w:val="856"/>
        <w:ind w:left="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pStyle w:val="856"/>
        <w:ind w:left="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pStyle w:val="856"/>
        <w:ind w:left="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pStyle w:val="856"/>
        <w:ind w:left="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pStyle w:val="856"/>
        <w:ind w:left="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pStyle w:val="856"/>
        <w:ind w:left="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pStyle w:val="856"/>
        <w:ind w:left="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pStyle w:val="856"/>
        <w:ind w:left="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pStyle w:val="856"/>
        <w:ind w:left="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pStyle w:val="856"/>
        <w:ind w:left="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pStyle w:val="856"/>
        <w:ind w:left="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pStyle w:val="856"/>
        <w:ind w:left="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numPr>
          <w:ilvl w:val="0"/>
          <w:numId w:val="1"/>
        </w:numPr>
        <w:jc w:val="center"/>
        <w:spacing w:line="360" w:lineRule="auto"/>
        <w:rPr>
          <w:rFonts w:hint="eastAsia" w:asciiTheme="minorEastAsia" w:hAnsiTheme="minorEastAsia" w:eastAsiaTheme="minorEastAsia" w:cstheme="minorEastAsia"/>
          <w:b/>
          <w:bCs/>
          <w:color w:val="auto"/>
          <w:sz w:val="32"/>
          <w:szCs w:val="32"/>
        </w:rPr>
        <w:outlineLvl w:val="0"/>
      </w:pPr>
      <w:r>
        <w:rPr>
          <w:rFonts w:hint="eastAsia" w:asciiTheme="minorEastAsia" w:hAnsiTheme="minorEastAsia" w:eastAsiaTheme="minorEastAsia" w:cstheme="minorEastAsia"/>
          <w:b/>
          <w:bCs/>
          <w:color w:val="auto"/>
          <w:sz w:val="32"/>
          <w:szCs w:val="32"/>
        </w:rPr>
        <w:t xml:space="preserve"> </w:t>
      </w:r>
      <w:bookmarkStart w:id="8" w:name="_Toc13699"/>
      <w:r/>
      <w:bookmarkStart w:id="9" w:name="_Toc21667"/>
      <w:r>
        <w:rPr>
          <w:rFonts w:hint="eastAsia" w:asciiTheme="minorEastAsia" w:hAnsiTheme="minorEastAsia" w:eastAsiaTheme="minorEastAsia" w:cstheme="minorEastAsia"/>
          <w:b/>
          <w:bCs/>
          <w:color w:val="auto"/>
          <w:sz w:val="32"/>
          <w:szCs w:val="32"/>
        </w:rPr>
        <w:t xml:space="preserve">采购需求</w:t>
      </w:r>
      <w:bookmarkEnd w:id="8"/>
      <w:r/>
      <w:bookmarkEnd w:id="9"/>
      <w:r/>
      <w:r/>
    </w:p>
    <w:p>
      <w:pPr>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一、采购标的：</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1.项目名称：2025年城市安全建设-市管12座桥梁轻量化监测设备安装。</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2.采购预算：本项目预算金额536.15万元人民币，不接受超过采购预算的投标报价。报价包含产品价、税金、运费、安装调试、检测（检验）、保险、培训、售后服务、运行、竣工验收（含验收小组成员中专业技术人员费用）、利润等为完成项目所需的全部费用，采购人不再支付报价以外的任何费用。</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3.服务期限：前3个月为建设期，建设期结束经甲方验收合格后进入3年缺陷责任期，质保期满后进入2年运营服务期。</w:t>
      </w:r>
      <w:r/>
    </w:p>
    <w:p>
      <w:pPr>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二、项目基本情况：</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1.汉桥</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（1）基本信息</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汉桥位于复兴南路，跨越故黄河，建于1999年12月，全长279.64m。全桥共11跨，跨径组成11×25m，桥梁全宽36.0m，总面积10067.04m²，桥面横向布置为：左侧人行道4.0m+左侧绿化带1.0m+行车道26.0m+右侧绿化带1.0m+右侧人行道4.0m。</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上部结构：连续箱梁，主梁设计为两片箱梁，每片宽18m，单箱三室，梁高1.3m，箱宽11.4m，桥中心侧悬臂1.6m，桥外侧悬臂5m。箱梁采用40号混凝土，采用现浇法施工，长悬臂加预应力筋，其余为普通钢筋。</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下部结构：一字型桥台，桩柱式墩，钻孔灌注桩基础（嵌岩桩）。桥墩、桥台、承台均采用30号混凝土。板式橡胶支座。</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桥面系：采用8cm厚防水微膨胀混凝土，人行道桥面设3cm砂浆铺装，GSD-80伸缩缝，钢护栏，附挂通讯线缆。</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（2）主要病害</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主梁（等截面整体现浇箱梁桥）:底板：</w:t>
      </w:r>
      <w:r>
        <w:rPr>
          <w:rFonts w:hint="eastAsia" w:asciiTheme="minorEastAsia" w:hAnsiTheme="minorEastAsia" w:eastAsiaTheme="minorEastAsia" w:cstheme="minorEastAsia"/>
          <w:color w:val="auto"/>
          <w:sz w:val="24"/>
        </w:rPr>
        <w:t xml:space="preserve">析白（结晶物）（2处，总面积0.08m²），麻面（1处，总面积2.50m²），横向裂缝（1处，总长1.20m）；右翼板：露筋（1处，总长0.10m），破损（1处，总面积0.06m²），横向裂缝（2处，总长4.20m，缝宽0.18mm）；左翼板：剥落（1处，总面积1.00m²），露筋（1处，总长3.50m），横向裂缝（3处，总长5.40m，缝宽0.14~0.16mm）；右腹板：竖向裂缝（1处，总长0.50m，缝宽0.14mm）。9#孔箱梁底板距大桩号墩台2m，距左边缘0m，横向裂缝，伴析白，L砼缝=1.2m。</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（3)监测内容</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竖向位移监测：选取9#墩墩顶布设2台光电挠度仪，9#孔跨中各箱室底部布设1个光电靶标，8#墩墩顶布设2个基准靶，合计6个竖向位移测点。</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应变/温度监测：选取9#孔跨中底板和8#墩顶右半幅、9#墩顶底板各布设1个振弦式应变计（带温度计），合计布设4个结构应变/温度测点。</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2.政府桥</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（1）基本信息</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政府桥位于解放路，跨越奎河，全桥总长13.2m，左幅及中幅共计1跨，桥跨布置为：1 ×13m，右幅共计3跨，桥跨布置为：（3+7+3）m，桥面总宽30.0m，总面积396m²，桥面横向布置为：左侧人行道3.0m+左侧非机动车道3.5m+机动车道16.7m+右侧非机动车道3.5m+右侧人行道3.3m。</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上部结构：左、中幅简支PC空心板梁，右幅钢筋混凝土变截面肋梁。</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下部结构：重力式桥台，实体式桥墩。</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桥面系：沥青混凝土铺装层。</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（2）主要病害</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1）底板：露筋（多处，总长6.40m），露筋锈蚀（6处，总长7.00m），锈胀（9处，总面积1.22m²）；2）左腹板：露筋（多处，总长2.10m），锈胀（1处）。</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（3）监测内容</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竖向位移监测：选取左幅0#台台顶布设1台光电挠度仪，1#孔跨中底部2~7#梁底各布设1个光电靶标，1#墩墩顶布设1个基准靶，合计布设1台光电挠度仪、6个目标靶和1个基准靶。</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应变/温度监测：选取1#孔跨中底部4~7#梁底各布设1个振弦式应变计（带温度计），合计布设4个结构应变/温度测点。</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3.南门桥</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（1）基本信息</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南门桥位于彭城路，跨越奎河，建于1995年4月。全桥总长13.2m，全桥共计1跨，桥跨布置为：1×13m；桥梁全宽34.14m，总面积450.64m²。桥面横向布置为：左侧护栏基座0.37m+左侧人行道3.95m+行车道25.5m+右侧人行道3.95m+右侧护栏基座0.37m。</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上部结构：简支PC空心板梁。</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下部结构：重力式桥台，板式橡胶支座。</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桥面系：沥青混凝土铺装层，钢护栏。</w:t>
      </w:r>
      <w:r/>
    </w:p>
    <w:p>
      <w:pPr>
        <w:numPr>
          <w:ilvl w:val="0"/>
          <w:numId w:val="2"/>
        </w:num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主要病害</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主梁（空心板桥）:1）右腹板：露筋锈蚀（多处，总长4.00m），锈胀（多处）；2）底板：纵向裂缝（5处，总长4.10m），露筋（多处，总长0.80m），露筋锈蚀（多处，总长4.00m），锈胀（多处，总面积0.06m²）；3）左腹板：露筋锈蚀（多处，总长0.40m），锈胀（多处）。</w:t>
      </w:r>
      <w:r/>
    </w:p>
    <w:p>
      <w:pPr>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横向联系（空心板桥）:1）铰缝：渗水侵蚀（8处，总长91.00m）。</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（3）监测内容</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竖向位移监测：选取1#台台顶布设1台光电挠度仪，1#孔跨中26~21#梁底部各布设1 个目靶标，0#台台顶布设1个基准靶，合计布设1台光电挠度仪、6个目标靶和1个基准靶。</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应变/温度监测：选取1#孔跨中26~23#梁底部各布设1个振弦式应变计（带温度计），合计布设4个结构应变/温度测点。</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4.庆丰路桥</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（1）基本信息</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庆丰路桥位于庆丰路，跨三八河，建于2011年6月，桥梁全长62.04m，全桥共计3跨，桥跨布置为：（16+20+16）m；桥梁全宽40.5m，总面积2512.62m²。桥面横向布置为：左侧护栏0.35m+左侧人行道5m+左侧非机动车道3m+左侧分隔带1.2m+行车道21.5m+右侧分隔带1.2m+右侧非机动车道3m+右侧人行道5m+右侧护栏0.35m。</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上部结构：简支PC空心板梁。</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下部结构：重力式台，桩柱式墩，扩大基础，板式橡胶支座。</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桥面系：沥青混凝土铺装层，型钢伸缩缝，钢石组合护栏。</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（2）主要病害</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铰缝：渗水侵蚀（1处，总长2.00m）。</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（3）监测内容</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竖向位移监测：选取2#墩墩顶布设1台光电挠度仪，2#孔10#~16#空心板梁底部各布设7个目标靶，1#墩墩顶布设1个基准靶，合计布设1台光电挠度仪、7个目标靶和1个基准靶。</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应变/温度监测：选取2#孔跨中底部布设4个应变计（带温度计），合计布设4个结构应变/温度测点。</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5.西月河桥</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（1）基本信息</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西月河桥位于九里区天齐北路，跨西月河，建于2005年8月，全长34m。全桥共计3 跨，桥跨布置为：3×10m，桥梁全宽40m，总面积1360m²，桥面横向布置为：左侧护栏0.35m+左侧人行道3.15+行车道33m+右侧人行道3.15＋右侧护栏0.35m。</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上部结构：简支PC空心板梁。</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下部结构：重力式桥台，板式橡胶支座，桩柱式桥墩。</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桥面系：沥青混凝土铺装，型钢伸缩缝，钢护栏。</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（2）主要病害</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主梁（空心板桥）:1）底板：破损（1处，总面积0.03m²）。</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（3）监测内容</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竖向位移监测：选取3#台台顶各布设1台光电挠度仪，3#孔跨中4~9#梁底部各布设1 个目标靶，2#墩墩顶各布设1个基准靶，合计布设1台光电挠度仪、6个目标靶和1个基准靶。</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应变/温度监测：选取3#孔跨中4~7#梁底部各布设1个应变计（带温度计），合计布设4 个结构应变/温度测点。</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6.琅河5号桥</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（1）基本信息</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琅河5号桥位于富春路，跨越琅河，正斜交角：斜交，全长39m，全桥共计3跨，桥跨布置为：（10+13+10）m；桥梁全宽44.1m，总面积1719.9m²，桥面横向布置为：左侧护栏0.3m+左侧人行道3.0m+左侧绿化带1.5m+左侧非机动车道3.5m+绿化带3.0m+行车道21.0m+绿化带1.5m+右侧非机动车道7.0m+右侧人行道3.0m+ 右侧护栏0.3m，桥梁养护类别为Ⅳ类，养护等级为Ⅰ等。</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上部结构：PC简支空心板梁。</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下部结构：桩柱式墩，轻型桥台，板式橡胶支座。</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桥面系：沥青混凝土铺装层。</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（2）主要病害</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主梁（空心板桥）:右翼板：剥落（多处，总面积0.38m²），露筋（非主筋）（1处，总长0.20m）。</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横向联系（空心板桥）:1）铰缝：渗水侵蚀（5处，总长18.00m）。</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（3）监测内容</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竖向位移监测：选取2#墩墩顶布设1台光电挠度仪，2#孔跨中27~32#梁底部各布设1 个目标靶，1#墩墩顶各布设1个基准靶，合计布设1台光电挠度仪、6个目标靶和1个基准靶。</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7.顺堤河汉风路桥</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（1）基本信息</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顺堤河汉风路桥位于汉风路，全长100.0m。全桥共计3跨，桥跨布置为：25+35+25m；桥梁全宽48.52m。桥梁养护类别为Ⅲ类，养护等级为Ⅰ等。</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上部结构：变截面连续箱梁。</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下部结构：实体薄壁墩，轻型台，盆式橡胶支座。</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桥面系：沥青混凝土铺装层，石护栏，模数式伸缩缝。</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（2）主要病害</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西幅：主梁（变截面箱梁支架现浇桥）:底板：纵向裂缝（1处，总长0.60m），剥落（42处，总面积6.60m²），露筋（非主筋）（1处，总长1.50m），破损（1处，总面积0.01m ²），露筋锈蚀（非主筋）（42处，总长5.50m）；右腹板：剥落（多处，总面积0.20m²）。</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中1幅：主梁（变截面箱梁支架现浇桥）:底板：孔洞（2处，总面积0.12m²），剥落（1处，总面积0.12m²），露筋（非主筋）（8处，总长9.40m）；右翼板：剥落（1处，总面积0.20m²），露筋（非主筋）（1处，总长1.50m）；左翼板：剥落（1处，总面积0.32m ²），露筋（非主筋）（1处，总长0.20m）。</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中2幅：主梁（变截面箱梁支架现浇桥）:底板：孔洞（5处，总面积1.51m²），剥落（2处，总面积0.28m²），露筋（非主筋）（7处，总长3.00m），蜂窝（1处，总面积0.16m²），横向裂缝（1处，总长0.80m）；左翼板：露筋（非主筋）（1处，总长0.30m），破损（1处，总面积0.02m²）；右腹板：露筋（非主筋）（1处，总长0.80m）。</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东幅：主梁（变截面箱梁支架现浇桥）:底板：剥落（多处，总面积4.16m²），露筋（非主筋）（多处，总长23.00m），破损（1处，总面积0.06m²）；左翼板：剥落（1处，总面积0.20m²），露筋（非主筋）（2处，总长1.30m）；右翼板：剥落（多处，总面积1.32m²），露筋（非主筋）（多处，总长4.00m）。</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（3）监测内容</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竖向位移监测：选取中1、2幅桥2#孔1/4跨、跨中、3/4跨腹板底部各布置一束光纤光栅串，合计布设6个竖向位移测点。</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结构应变、结构温度监测：选取中1、2幅桥中跨墩顶腹板底部和跨中腹板底部各布设1 个光纤光栅串和光纤光栅温度计，合计布设4个结构应变测点、4个结构温度测点。</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视频监控：选取2#墩顶桥面布设1台高清摄像机，合计布设1台高清摄像机。</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8.金川路纬一河桥</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（1）基本信息</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金川路纬一河桥位于金川路，全长26.0m。全桥共计1跨，桥跨布置为：1×20m；桥梁全宽34.7m，板梁宽1.0m，高0.8m；桥面横向布置为：左侧护栏0.35m+左侧人行道2.0m+左侧非机动车道3.0m+左侧绿化带2.5m+行车道19.0m+右侧绿化带2.5m+右侧非机动车道3.0m+右侧人行道2.0m+右侧护栏0.35m。桥梁养护类别为Ⅳ类，养护等级为Ⅱ等。</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上部结构：PC简支空心板梁。</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下部结构：桩柱式桥台。</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桥面系：沥青混凝土铺装层，组合式护栏，模数式伸缩缝。</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（2）主要病害</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主梁（空心板桥）:1）底板：破损（3处，总面积0.24m²），错台（1处）。</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（3）监测内容</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竖向位移监测：选取1#台台顶布设1台光电挠度仪，1#孔跨中10~15#梁底部各布设1 个目标靶，0#墩墩顶布设1个基准靶，合计布设1台光电挠度仪、6个目标靶和1个基准靶。</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9.解放北路高架桥</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（1）基本信息</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解放北路高架桥位于解放北路，跨越陇海铁路、闸口西街与环城路，第九联桥梁全长120m，共计三跨，桥跨布置为：35+50+35m桥梁全宽17.5m。</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上部结构：第九联为钢混叠合梁。</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下部结构：21、24#桥墩为桩柱式桥墩，22~23#为双立柱+横系梁结构形式，第九联为球型支座。</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（2）主要病害</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钢箱梁：腹板5处涂装脱落，面积为0.24m²，底板4处涂装脱落，面积为0.04m²;桥面板：共14 条纵向裂缝，总长度为51.8mm、宽度为0.08~0.12mm，6 处网裂析白，面积为26.1m²。</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（3）监测内容</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竖向位移监测：选取第九联主跨四分点和边跨跨中底部各布设1个光纤光栅串，合计布设5个竖向位移测点。</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结构应变、结构温度监测：第九联左右幅边跨和中跨跨中腹板顶部和底部各布设1个光纤光栅串和光纤光栅温度计，合计布设12个结构应变测点、12个结构温度测点。</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视频监控：主跨跨中桥面上下行各布设1台高清摄像机，合计布设2台高清摄像机。</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支座偏位监测：主桥桥头两侧上下行支座各布设1台位移计，合计布设2台位移计。</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10.金山东路跨三环路桥</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（1）基本信息</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金山东路跨三环路桥位于金山东路，跨三环东路，桥梁全长322.0m，全桥共计11跨，桥跨布置为：（3×29）m+（29+3×30+29）m+（3×29）m，全宽24.5m，总面积7889m²，桥面横向布置为：左侧防撞墙0.5m+左侧行车道11.5m+中央分隔带0.5m+右侧行车道11.5m+右侧防撞墙0.5m。</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上部结构：预应力砼简支小箱梁。</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下部结构：桩柱式桥墩，重力式桥台，板式橡胶支座。</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（2）主要病害</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湿接缝的主要病害有：</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1）湿接缝：网裂（4处，总面积34.40m²）。</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 跨间横隔板的主要病害有：1）跨间横隔板：竖向裂缝（52处，总长55.60m，缝宽0.12~0.15mm）。</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（3）监测内容</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竖向位移监测：选取7#墩墩顶上下行各布设1台光电挠度仪，7#孔跨中箱梁底部1~3#、6~8#梁底各布设1个光电靶标，6#墩墩顶布设2个基准靶；合计布设2台光电挠度仪、6个目标靶和2个基准靶。</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视频抓拍监测：选取7#孔跨中桥面上下行各布设1台高清摄像机，合计布设2台高清摄像机。</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11.七里沟立交上行桥</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（1）基本信息</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七里沟立交上行桥位于迎宾大道，跨越铁路，全长210m，道路等级为城市主干路。全桥分为左右两幅，右幅上部结构采用6×16m钢筋混凝土T梁+16m空心板梁+6×16m钢筋混凝土T梁，左幅上部结构采用（4×16m）钢筋混凝土T梁+（8+2×16+8）m空心板梁+（6×16m）钢筋混凝土T梁。桥梁全宽36.7m。</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上部结构：上部结构：左幅1#～4#孔每孔10片T梁，5#～8#孔每孔15片板梁，9#～</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14#孔每孔10片T梁；右幅1#～6#孔每孔9片T梁，7#孔14片板梁，8#～13#孔每孔9片T 梁。</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（2）主要病害</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西幅：1.主梁（T梁桥）:1）左腹板：破损（1处，总面积0.06m²），斜向裂缝（1处，总长0.80m，缝宽0.14mm），火烧熏黑（1处）；2）底板：火烧熏黑（1处）。2.横向联系（T梁桥）:a.湿接缝的主要病害有：1）湿接缝：析白（结晶物）（7处），渗水侵蚀（7处）。b.跨间横隔板的主要病害有：1）跨间横隔板：连接钢板锈蚀（8处）。c.铰缝的主要病害有：1）铰缝：渗水侵蚀（5处）。3.主梁（空心板桥）:1）底板：破损（1处，总面积0.09m²），露筋锈蚀（1处，总长0.10m）。</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东幅：1.主梁（T梁桥）:1）左腹板：</w:t>
      </w:r>
      <w:r>
        <w:rPr>
          <w:rFonts w:hint="eastAsia" w:asciiTheme="minorEastAsia" w:hAnsiTheme="minorEastAsia" w:eastAsiaTheme="minorEastAsia" w:cstheme="minorEastAsia"/>
          <w:color w:val="auto"/>
          <w:sz w:val="24"/>
        </w:rPr>
        <w:t xml:space="preserve">纵向裂缝（59处，总长17.50m，缝宽0.12~0.15mm），露筋（2处，总长0.70m），竖向裂缝（6处，总长3.20m，缝宽0.15~0.22mm），锈胀（2处，总面积0.12m²），斜向裂缝（10处，总长6.25m，缝宽0.04~0.16mm）；2）右腹板：纵向裂缝（3处，总长2.40m，缝宽0.16mm），斜向裂缝（14处，总长8.10m，缝宽0.14~0.20mm）；3）底板：露筋（1处，总长0.20m），锈胀（1处，总面积0.03m²）；4）右翼板：纵向裂缝（2处，总长1.60m，缝宽0.1</w:t>
      </w:r>
      <w:r>
        <w:rPr>
          <w:rFonts w:hint="eastAsia" w:asciiTheme="minorEastAsia" w:hAnsiTheme="minorEastAsia" w:eastAsiaTheme="minorEastAsia" w:cstheme="minorEastAsia"/>
          <w:color w:val="auto"/>
          <w:sz w:val="24"/>
        </w:rPr>
        <w:t xml:space="preserve">6mm）。2.横向联系（T梁桥）:a.湿接缝的主要病害有：1）湿接缝：析白（结晶物）（5处），渗水侵蚀（5处）。b.跨间横隔板的主要病害有：1）跨间横隔板：连接钢板锈蚀（3处），连接件锈蚀（钢结构）（1处）。3.主梁（空心板桥）:1）底板：露筋（1处，总长0.30m），破损（1处，总面积0.06m²），露筋锈蚀（多处，总长22.00m），锈胀（多处，总面积0.06m²），火烧熏黑（1处）；2）右腹板：露筋（11处，总长0.30m），锈胀（多处）；3）左翼板：露筋锈蚀（多处，总长18.00m），锈胀（多处）。</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（3）监测内容</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竖向位移监测：选取东幅桥3#墩墩顶布设1台光电挠度仪，4#孔跨中底部1~6#梁底布设6个光电靶标，4#墩墩顶布设1个基准靶；合计布设1台光电挠度仪、6个目标靶和1个基准靶。</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应变/温度监测：选取4#孔跨中7~8#T梁底各布设1个应变计（带温度计），合计布设2 个结构应变测点。</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视频抓拍监测：选取3#墩墩顶桥面布设1台高清摄像机，合计布设1台高清摄像机。</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12.金山东路上跨桥</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（1）基本信息</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金山东路上跨桥位于金山东路，跨越京沪铁路，奎河。桥梁全长854m，全桥共计</w:t>
      </w:r>
      <w:r>
        <w:rPr>
          <w:rFonts w:hint="eastAsia" w:asciiTheme="minorEastAsia" w:hAnsiTheme="minorEastAsia" w:eastAsiaTheme="minorEastAsia" w:cstheme="minorEastAsia"/>
          <w:color w:val="auto"/>
          <w:sz w:val="24"/>
        </w:rPr>
        <w:t xml:space="preserve">9联，左幅桥跨布置为：第一联（3×30）+第二联（3×30）+第三联（3×30）+第四联（25+2 ×35+25）+第五联（2×25+2×22）+第六联（30+48+30）+第七联（27+25）+第八联（4×30）+第九联（3×30）；右幅桥跨布置为：第一联（3×30）+第二联（3×30）+第三联（3× 30）+第四联（25+2×35+25）+第五联（2×25+27)+第六联(30+48+30)+第七联(2×22+25)+第八联(4×30)+第九联(3×30)；桥梁全宽24.6m，总面积21008.4m²，</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上部结构：1~9#孔现浇连续箱梁、10~25#孔小箱梁、26~29#孔现浇连续箱梁。</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下部结构：重力式桥台，桩柱式桥墩、球型钢支座。</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桥面系：沥青混凝土铺装层，型钢伸缩缝，钢筋混凝土防撞墙。</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（2）主要病害</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独幅：主梁（等截面整体现浇箱梁桥）:1）底板：析白（结晶物）（2处），剥落（5处，总面积0.14m²），露筋（7处，总长2.30m）；2）左翼板：剥落（1处，总面积0.06m²）；3）右腹板：析白（结晶物）（1处）。主梁（小箱梁桥）:1）右翼板：析白（结晶物）（4处）；2）左翼板：析白（结晶物）（1处）。横向联系（小箱梁桥）:1）湿接缝：横向裂缝（53处，总长10.90m）。</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北幅：横向联系（小箱梁桥）:1）湿接缝：横向裂缝（114处，总长25.00m）。</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（3）监测内容</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竖向位移监测：选取第五联18#墩顶布设2台光电挠度仪，19#孔左右幅4分点共布设</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12个目标靶，19#墩顶布设2个基准靶，合计布设2台光电挠度仪、12个目标靶和2个基准靶。</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应变/温度监测：选取第五联19#孔跨中2~7#片梁底部各布设1个应变计（带温度计），合计布设6个结构应变/温度测点。</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视频抓拍监测：19#墩顶桥面南侧布置一个高清摄像机，合计布设1台高清摄像机。</w:t>
      </w:r>
      <w:r/>
    </w:p>
    <w:p>
      <w:pPr>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三、项目实施要求</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1.硬件安装要求</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（1）硬件设备在使用前应具备出厂合格证明、监测类产品校验及标定报告等相关书面资料，设备性能满足现行规范和招标文件要求。</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（2）传感器、数据采集与传输设备的安装应符合设计文件和生产厂家要求。通信光缆、电缆等施工应满足相关规范和招标文件要求。</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（3）传感器应稳定可靠与被测结构物牢固连接，并采取匹配的防护措施予以保护。传感器及其附属产品的安装对监测桥梁原有构件的正常工作无影响，对施工过程中造成的桥隧、道路微损区域应进行及时修复。</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（4）实施过程中，施工方案设计包含施工安全技术措施以及应急预案，确保施工过程中无安全事故发生。</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（5）设备现场安装、数据采集设备现场安装前应检定，安装后应进行校验，包括接线正确性校验和数据完整性校验，并宜定期对比校准。</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（6）硬件设备安装位置的环境温度、湿度控制应满足《电子信息系统机房设计规范》GB50174-2008 的要求；</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（7）设备供电应满足《供配电系统设计规范》GB50052-2016 的要求，强、弱电区分明确。</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（8）设备防雷接地应符合《建筑物电子信息系统防雷技术规范》GB50343-2012 的要求。</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（9）服务器机柜及其设备安装稳固端正，无伤痕，接线端子和接插座安装规范，标识清楚。</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（10）机柜内设备分布合理，裸露金属部分无锈蚀，柜内布线整齐、捆扎牢固，标识清晰。</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2.传感器硬件实施要求</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（1）传感器供电应根据设备参数选择相应电源，供电线路施工应满足《供配电系统设计规范》GB50052-2016 的要求。</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（2）传感器防雷接地应符合《建筑物电子信息系统防雷技术规范》GB50343-2012 的要求。</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（3）传感器和保护装置表面应光泽一致、无划伤、无刻痕、无剥落、无锈蚀。</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（4）传感器安装立柱、支架及螺栓应符合设计要求，防腐措施得当，裸露金属部分无锈蚀。</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（5）埋入式安装的传感器安装时，信号线缆应与内部构件进行固定，禁止悬吊，线缆出口位置应使用套管加以保护。</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（6）通过附属设施安装的传感器，附属设施刚度应满足设计要求。</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（7）每个通道内各传感器中心波长应尽量分散，避免解调时相互干扰。</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（8）传感器安装后应在 24 小时内完成初始数据的记录。</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（9）传感器设备施工全过程应保留完整的影像或图片资料。</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3.数据采集与传输实施要求</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数据采集工作站施工要求：</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（1）外站位置分布合理，安装稳固端正，无伤残痕迹；</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（2）外站机柜尺寸、防腐措施满足设计要求；</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（3）外站机柜内接线端子和接插座安装规范，强、弱电区分明确，金属机箱与接地端连接可靠；</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（4）机柜整体密封性能良好，柜内无积水、尘土，机柜内宜安装温度控制；</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（5）机柜内设备分布合理，布线整齐、捆扎牢固，标识清晰；</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（6）机柜内供电应满足《供配电系统设计规范》GB50052-2016 的要求，设备工作状态正常；</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（7）外站防雷接地应符合《建筑物电子信息系统防雷技术规范》GB50343-2012 的要求。</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线缆敷设施工要求：</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（1）走线管道、桥架安装应符合《电气装置安装工程电缆线路施工及验收标准》GB50168-2018 的规定；</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（2）线缆敷设应符合《电缆敷设国家标准》GB50217-94 的规定；</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（3）线缆敷设位置不宜有腐蚀性物质排放、强磁场或强电场干扰，当无法避免时应采取防护或屏蔽措施。</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（4）线缆敷设前应进行外观检查，线缆上厂名、产品型号和额定电压连续标识清晰，线</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缆外护套无伤痕、破损；敷设时应平直整齐、固定可靠；敷设后在线缆起始位置和终点位置应有清晰铭牌。</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（5）光缆敷设应符合《商业建筑电讯布线系统标准-第 3 部分光纤布线部件标准》的要求；</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（6）光缆敷设前应进行外观检查和导通测试，敷设时光缆弯曲半径不应小于光缆外径的15 倍；</w:t>
      </w:r>
      <w:r/>
    </w:p>
    <w:p>
      <w:pPr>
        <w:pStyle w:val="856"/>
        <w:ind w:left="0" w:firstLine="48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（7）光缆接续应采用专用设备熔接，熔接损耗应小于 0.3db。</w:t>
      </w:r>
      <w:r/>
    </w:p>
    <w:p>
      <w:pPr>
        <w:pStyle w:val="856"/>
        <w:ind w:left="0" w:firstLine="48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网络通讯施工要求</w:t>
      </w:r>
      <w:r/>
    </w:p>
    <w:p>
      <w:pPr>
        <w:pStyle w:val="856"/>
        <w:ind w:left="0" w:firstLine="48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（1）网络通讯设备工作状态正常；</w:t>
      </w:r>
      <w:r/>
    </w:p>
    <w:p>
      <w:pPr>
        <w:pStyle w:val="856"/>
        <w:ind w:left="0" w:firstLine="48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（2）网络接线符合设计要求；</w:t>
      </w:r>
      <w:r/>
    </w:p>
    <w:p>
      <w:pPr>
        <w:pStyle w:val="856"/>
        <w:ind w:left="0" w:firstLine="48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（3）数据传输时延、光信号衰减等指标满足 EIA/TIA568 规范要求；</w:t>
      </w:r>
      <w:r/>
    </w:p>
    <w:p>
      <w:pPr>
        <w:pStyle w:val="856"/>
        <w:ind w:left="0" w:firstLine="48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（4）数据传输误码率 BER≤10-8。</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7.试运行要求</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试运行时长无相关规定时不得少于 90 天；</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试运行期间，平均无故障运行时间应大于总时长的 95%。</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试运行期间，数据缺失率应不大于 5%</w:t>
      </w:r>
      <w:r/>
    </w:p>
    <w:p>
      <w:pPr>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四、验收要求</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1.硬件验收</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硬件验收应包含以下内容：</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（1）进场设备材料的数量、规格型号、技术参数等与合同文件、设计文件的一致，合格证、质保卡、说明书及出厂检验报告齐全；</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（2）传感器安装位置正确、牢固、端正，表面平整，与结构物接触面紧密，采取了必要的防腐防护措施，信号线按要求连接到位；</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3）数据采集设备处于正常工作状态，机柜内电力线、信号线、元器件等布线平直、整齐、固定可靠，插头牢固，标识清晰。出线管与箱体连接密封良好，机柜内无积水、尘土、霉变；机柜接地连接可靠，接地引出线无锈蚀；</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（4）光电缆线路敷设与数据中心设备安装应满足《公路工程质量检验评定标准第二册机电工程》（JTGF80-2）的有关要求。</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3.其他要求</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本项目验收要求按照《江苏省政府采购履约验收管理办法》执行。对履约验收发生的检测（检验）费、验收小组成员中的专业技术人员费用等支出，均由乙方承担，执行标准参照江苏省政府采购专家评审费，甲方不再支付其它任何费用。</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五、维护与数据分析</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1.数据采集与传输软件维护</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（1）软件日常检查包括以下内容：</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1）每周 1 次远程巡检，每月定期维护，特殊情况下应急维护；</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2）日常检查内容包括采集及传输软件模块功能工作状态检查等；</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3）在不停机状态下进行数据采集与传输软件日常检查。</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（2）数据采集与传输软件定期（专项）维护包括以下内容：</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1）每月至少开展 1 次定期维护；</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2）定期维护内容包括时间同步检查及软件运行日志检查等；</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3）对于有配置参数修改、更正的维护操作，提前做好备份，并在维护完成后做好日志记录。</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（3）数据采集与传输软件应急维护包括以下内容：</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1）应急维护内容包括软件模块崩溃恢复、功能异常修复和数据异常更正等；</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2）当发现软件功能故障时，及时进行确认和处治；</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3）对于非软件因素造成的数据异常或中断等，联合硬件维护人员进行排查、修复并做好维护记录。</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2.硬件设备维护</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（1）设备维护内容包含定期维护、故障维护和专项维护。</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2）定期维护不低于每季度1次，维护中对设备进行全面检测和保养，对监测传感器、采集设备等表现完好性进行检查，对设备及防护罩的固定情况以及传感器、采集设备与传输线路的线头紧固情况进行检查；检查设备运行状态，核查错误记录，排除潜在隐患，以确保正常稳定的监测。</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（3）出现故障的设备应及时进行故障判断、维修、更换等，并采取相应的措施避免同一故障再次出现。对维护发现的问题24小时内快速响应并及时处置。</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（4）对强（台）风、超限车辆过桥等可预见的特殊事件发生前后应对设备进行专项维护，确保特殊事件发生时设备能够稳定运行。</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（5）日常检查对巡查路线上监测设备的表观完好性及稳固性进行检查，并对巡查情况进行记录。</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（6）对巡查中发现的问题或软件反馈的问题，及时处置或通知专业单位进行处置，并对处置结果进行记录。</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（7）至少2人驻点（徐州市市政管理中心）进行硬件巡查、故障处置、协助预警等运维工作。</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（8）对现场采集站、监控中心内等易受灰尘影响的设备及机柜进行除尘处理。</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3.数据分析</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（1）报警阈值</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报警设计依据《江苏省城市生命线安全工程运行监测报警预警指南》（试行）4.2.4相关条款设计报警阈值，并依据不同指标实现在线实时报警和离线报警，报警指标的设定如表 5.3-1 所示。</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采用上述报警指标对桥梁进行报警设计，后期根据监测数据长周期趋势对报警阈值进行调整优化，最终形成针对这些桥梁最为有效的报警指标与阈值。</w:t>
      </w:r>
      <w:r/>
    </w:p>
    <w:p>
      <w:pPr>
        <w:spacing w:line="360" w:lineRule="auto"/>
        <w:rPr>
          <w:rFonts w:hint="eastAsia" w:asciiTheme="minorEastAsia" w:hAnsiTheme="minorEastAsia" w:eastAsiaTheme="minorEastAsia" w:cstheme="minorEastAsia"/>
          <w:b/>
          <w:bCs/>
          <w:color w:val="auto"/>
          <w:szCs w:val="21"/>
        </w:rPr>
      </w:pPr>
      <w:r>
        <w:rPr>
          <w:rFonts w:hint="eastAsia" w:asciiTheme="minorEastAsia" w:hAnsiTheme="minorEastAsia" w:eastAsiaTheme="minorEastAsia" w:cstheme="minorEastAsia"/>
          <w:b/>
          <w:bCs/>
          <w:color w:val="auto"/>
          <w:szCs w:val="21"/>
        </w:rPr>
        <w:t xml:space="preserve">表 5.3-1 基于《江苏省城市生命线安全工程运行监测报警预警指南》（试行）要求的报警阈值设定</w:t>
      </w:r>
      <w:r/>
    </w:p>
    <w:tbl>
      <w:tblPr>
        <w:tblStyle w:val="86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357"/>
        <w:gridCol w:w="2090"/>
        <w:gridCol w:w="5407"/>
      </w:tblGrid>
      <w:tr>
        <w:trPr/>
        <w:tc>
          <w:tcPr>
            <w:tcW w:w="2357" w:type="dxa"/>
            <w:textDirection w:val="lrTb"/>
            <w:noWrap w:val="false"/>
          </w:tcPr>
          <w:p>
            <w:pPr>
              <w:jc w:val="center"/>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监测指标</w:t>
            </w:r>
            <w:r/>
          </w:p>
        </w:tc>
        <w:tc>
          <w:tcPr>
            <w:tcW w:w="2090" w:type="dxa"/>
            <w:textDirection w:val="lrTb"/>
            <w:noWrap w:val="false"/>
          </w:tcPr>
          <w:p>
            <w:pPr>
              <w:jc w:val="center"/>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报警等级</w:t>
            </w:r>
            <w:r/>
          </w:p>
        </w:tc>
        <w:tc>
          <w:tcPr>
            <w:tcW w:w="5407" w:type="dxa"/>
            <w:textDirection w:val="lrTb"/>
            <w:noWrap w:val="false"/>
          </w:tcPr>
          <w:p>
            <w:pPr>
              <w:jc w:val="center"/>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分级标准</w:t>
            </w:r>
            <w:r/>
          </w:p>
        </w:tc>
      </w:tr>
      <w:tr>
        <w:trPr/>
        <w:tc>
          <w:tcPr>
            <w:tcW w:w="2357" w:type="dxa"/>
            <w:vAlign w:val="center"/>
            <w:vMerge w:val="restart"/>
            <w:textDirection w:val="lrTb"/>
            <w:noWrap w:val="false"/>
          </w:tcPr>
          <w:p>
            <w:pPr>
              <w:jc w:val="center"/>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竖向位移</w:t>
            </w:r>
            <w:r/>
          </w:p>
        </w:tc>
        <w:tc>
          <w:tcPr>
            <w:tcW w:w="2090" w:type="dxa"/>
            <w:textDirection w:val="lrTb"/>
            <w:noWrap w:val="false"/>
          </w:tcPr>
          <w:p>
            <w:pPr>
              <w:jc w:val="center"/>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一级（严重）</w:t>
            </w:r>
            <w:r/>
          </w:p>
        </w:tc>
        <w:tc>
          <w:tcPr>
            <w:tcW w:w="5407" w:type="dxa"/>
            <w:textDirection w:val="lrTb"/>
            <w:noWrap w:val="false"/>
          </w:tcPr>
          <w:p>
            <w:pPr>
              <w:jc w:val="center"/>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达到设计值或一天内出现 10 次以上二级报警</w:t>
            </w:r>
            <w:r/>
          </w:p>
        </w:tc>
      </w:tr>
      <w:tr>
        <w:trPr/>
        <w:tc>
          <w:tcPr>
            <w:tcW w:w="2357" w:type="dxa"/>
            <w:vMerge w:val="continue"/>
            <w:textDirection w:val="lrTb"/>
            <w:noWrap w:val="false"/>
          </w:tcPr>
          <w:p>
            <w:pPr>
              <w:jc w:val="center"/>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2090" w:type="dxa"/>
            <w:textDirection w:val="lrTb"/>
            <w:noWrap w:val="false"/>
          </w:tcPr>
          <w:p>
            <w:pPr>
              <w:jc w:val="center"/>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二级（一般）</w:t>
            </w:r>
            <w:r/>
          </w:p>
        </w:tc>
        <w:tc>
          <w:tcPr>
            <w:tcW w:w="5407" w:type="dxa"/>
            <w:textDirection w:val="lrTb"/>
            <w:noWrap w:val="false"/>
          </w:tcPr>
          <w:p>
            <w:pPr>
              <w:jc w:val="center"/>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达到 0.8 倍的设计值</w:t>
            </w:r>
            <w:r/>
          </w:p>
        </w:tc>
      </w:tr>
      <w:tr>
        <w:trPr/>
        <w:tc>
          <w:tcPr>
            <w:tcW w:w="2357" w:type="dxa"/>
            <w:textDirection w:val="lrTb"/>
            <w:noWrap w:val="false"/>
          </w:tcPr>
          <w:p>
            <w:pPr>
              <w:jc w:val="center"/>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应变</w:t>
            </w:r>
            <w:r/>
          </w:p>
        </w:tc>
        <w:tc>
          <w:tcPr>
            <w:tcW w:w="2090" w:type="dxa"/>
            <w:textDirection w:val="lrTb"/>
            <w:noWrap w:val="false"/>
          </w:tcPr>
          <w:p>
            <w:pPr>
              <w:jc w:val="center"/>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三级（轻微）</w:t>
            </w:r>
            <w:r/>
          </w:p>
        </w:tc>
        <w:tc>
          <w:tcPr>
            <w:tcW w:w="5407" w:type="dxa"/>
            <w:textDirection w:val="lrTb"/>
            <w:noWrap w:val="false"/>
          </w:tcPr>
          <w:p>
            <w:pPr>
              <w:jc w:val="center"/>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超过设计最不利工况计算值</w:t>
            </w:r>
            <w:r/>
          </w:p>
        </w:tc>
      </w:tr>
      <w:tr>
        <w:trPr/>
        <w:tc>
          <w:tcPr>
            <w:tcW w:w="2357" w:type="dxa"/>
            <w:textDirection w:val="lrTb"/>
            <w:noWrap w:val="false"/>
          </w:tcPr>
          <w:p>
            <w:pPr>
              <w:jc w:val="center"/>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支座偏位</w:t>
            </w:r>
            <w:r/>
          </w:p>
        </w:tc>
        <w:tc>
          <w:tcPr>
            <w:tcW w:w="2090" w:type="dxa"/>
            <w:textDirection w:val="lrTb"/>
            <w:noWrap w:val="false"/>
          </w:tcPr>
          <w:p>
            <w:pPr>
              <w:jc w:val="center"/>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二级（一般）</w:t>
            </w:r>
            <w:r/>
          </w:p>
        </w:tc>
        <w:tc>
          <w:tcPr>
            <w:tcW w:w="5407" w:type="dxa"/>
            <w:textDirection w:val="lrTb"/>
            <w:noWrap w:val="false"/>
          </w:tcPr>
          <w:p>
            <w:pPr>
              <w:jc w:val="center"/>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触发支座偏位报警</w:t>
            </w:r>
            <w:r/>
          </w:p>
        </w:tc>
      </w:tr>
    </w:tbl>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（2）数据分析</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1）季度监测报表</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每季度进行监测数据分析处理，并提交季度监测报告。</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2）特殊事件分析处理报告</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桥梁运营中发生的突发事件如船撞、台风、地震、特殊车辆过桥的事件，根据监测的数据进行结构安全性分析，并提交特殊事件分析报告。</w:t>
      </w:r>
      <w:r/>
    </w:p>
    <w:p>
      <w:pPr>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七、售后服务要求</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1.中标人须在项目验收后提供不少于5年的免费原厂质保服务（中标后签订合同前提供原厂质保函，如不提供，采购人有权拒绝签订合同），自项目验收合格之日。质保期内，中标人应免费提供日常维护，若设备出现故障，根据采购人要求实施修复任务。</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2.中标人须保留质保期间所出现的问题、故障以及处理方式的完整记录，并定期提交用户保存。</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3.质保期外，投标人应根据项目特点提供应急措施和应急方案。</w:t>
      </w:r>
      <w:r/>
    </w:p>
    <w:p>
      <w:pPr>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八、其他要求详见第六章《拟签订的合同文本》。</w:t>
      </w:r>
      <w:r/>
    </w:p>
    <w:p>
      <w:pPr>
        <w:pStyle w:val="856"/>
        <w:ind w:left="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pStyle w:val="856"/>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pStyle w:val="856"/>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pStyle w:val="856"/>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pStyle w:val="856"/>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pStyle w:val="856"/>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pStyle w:val="856"/>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pStyle w:val="856"/>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pStyle w:val="856"/>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pStyle w:val="856"/>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pStyle w:val="856"/>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pStyle w:val="856"/>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pStyle w:val="856"/>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pStyle w:val="856"/>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pStyle w:val="856"/>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rPr>
          <w:rFonts w:hint="eastAsia"/>
          <w:color w:val="auto"/>
        </w:rPr>
      </w:pPr>
      <w:r>
        <w:rPr>
          <w:rFonts w:hint="eastAsia"/>
          <w:color w:val="auto"/>
        </w:rPr>
      </w:r>
      <w:r/>
    </w:p>
    <w:p>
      <w:pP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pStyle w:val="856"/>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pStyle w:val="856"/>
        <w:ind w:left="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pStyle w:val="856"/>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rPr>
          <w:color w:val="auto"/>
        </w:rPr>
      </w:pPr>
      <w:r>
        <w:rPr>
          <w:color w:val="auto"/>
        </w:rPr>
      </w:r>
      <w:r/>
    </w:p>
    <w:p>
      <w:pPr>
        <w:numPr>
          <w:ilvl w:val="0"/>
          <w:numId w:val="1"/>
        </w:numPr>
        <w:jc w:val="center"/>
        <w:spacing w:line="360" w:lineRule="auto"/>
        <w:rPr>
          <w:rFonts w:hint="eastAsia" w:asciiTheme="minorEastAsia" w:hAnsiTheme="minorEastAsia" w:eastAsiaTheme="minorEastAsia" w:cstheme="minorEastAsia"/>
          <w:b/>
          <w:bCs/>
          <w:color w:val="auto"/>
          <w:sz w:val="32"/>
          <w:szCs w:val="32"/>
        </w:rPr>
        <w:outlineLvl w:val="0"/>
      </w:pPr>
      <w:r>
        <w:rPr>
          <w:rFonts w:hint="eastAsia" w:asciiTheme="minorEastAsia" w:hAnsiTheme="minorEastAsia" w:eastAsiaTheme="minorEastAsia" w:cstheme="minorEastAsia"/>
          <w:b/>
          <w:bCs/>
          <w:color w:val="auto"/>
          <w:sz w:val="32"/>
          <w:szCs w:val="32"/>
        </w:rPr>
        <w:t xml:space="preserve"> </w:t>
      </w:r>
      <w:bookmarkStart w:id="10" w:name="_Toc17839"/>
      <w:r/>
      <w:bookmarkStart w:id="11" w:name="_Toc31910"/>
      <w:r>
        <w:rPr>
          <w:rFonts w:hint="eastAsia" w:asciiTheme="minorEastAsia" w:hAnsiTheme="minorEastAsia" w:eastAsiaTheme="minorEastAsia" w:cstheme="minorEastAsia"/>
          <w:b/>
          <w:bCs/>
          <w:color w:val="auto"/>
          <w:sz w:val="32"/>
          <w:szCs w:val="32"/>
        </w:rPr>
        <w:t xml:space="preserve">拟签订的合同文本</w:t>
      </w:r>
      <w:bookmarkEnd w:id="10"/>
      <w:r/>
      <w:bookmarkEnd w:id="11"/>
      <w:r/>
      <w:r/>
    </w:p>
    <w:p>
      <w:pPr>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项目编号：JSZC-320300-ZCGL-G2025-0016</w:t>
      </w:r>
      <w:r/>
    </w:p>
    <w:p>
      <w:pPr>
        <w:pStyle w:val="856"/>
        <w:ind w:left="0"/>
        <w:jc w:val="left"/>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项目名称</w:t>
      </w:r>
      <w:r/>
    </w:p>
    <w:p>
      <w:pPr>
        <w:pStyle w:val="856"/>
        <w:ind w:left="0"/>
        <w:jc w:val="left"/>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合同编号：</w:t>
      </w:r>
      <w:r/>
    </w:p>
    <w:p>
      <w:pP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jc w:val="center"/>
        <w:rPr>
          <w:rFonts w:hint="eastAsia" w:asciiTheme="minorEastAsia" w:hAnsiTheme="minorEastAsia" w:eastAsiaTheme="minorEastAsia" w:cstheme="minorEastAsia"/>
          <w:color w:val="auto"/>
          <w:sz w:val="52"/>
          <w:szCs w:val="52"/>
        </w:rPr>
      </w:pPr>
      <w:r>
        <w:rPr>
          <w:rFonts w:hint="eastAsia" w:asciiTheme="minorEastAsia" w:hAnsiTheme="minorEastAsia" w:eastAsiaTheme="minorEastAsia" w:cstheme="minorEastAsia"/>
          <w:color w:val="auto"/>
          <w:sz w:val="52"/>
          <w:szCs w:val="52"/>
        </w:rPr>
      </w:r>
      <w:r/>
    </w:p>
    <w:p>
      <w:pPr>
        <w:jc w:val="center"/>
        <w:rPr>
          <w:rFonts w:hint="eastAsia" w:asciiTheme="minorEastAsia" w:hAnsiTheme="minorEastAsia" w:eastAsiaTheme="minorEastAsia" w:cstheme="minorEastAsia"/>
          <w:color w:val="auto"/>
          <w:sz w:val="52"/>
          <w:szCs w:val="52"/>
        </w:rPr>
      </w:pPr>
      <w:r>
        <w:rPr>
          <w:rFonts w:hint="eastAsia" w:asciiTheme="minorEastAsia" w:hAnsiTheme="minorEastAsia" w:eastAsiaTheme="minorEastAsia" w:cstheme="minorEastAsia"/>
          <w:color w:val="auto"/>
          <w:sz w:val="52"/>
          <w:szCs w:val="52"/>
        </w:rPr>
        <w:t xml:space="preserve">政</w:t>
      </w:r>
      <w:r/>
    </w:p>
    <w:p>
      <w:pPr>
        <w:jc w:val="center"/>
        <w:rPr>
          <w:rFonts w:hint="eastAsia" w:asciiTheme="minorEastAsia" w:hAnsiTheme="minorEastAsia" w:eastAsiaTheme="minorEastAsia" w:cstheme="minorEastAsia"/>
          <w:color w:val="auto"/>
          <w:sz w:val="52"/>
          <w:szCs w:val="52"/>
        </w:rPr>
      </w:pPr>
      <w:r>
        <w:rPr>
          <w:rFonts w:hint="eastAsia" w:asciiTheme="minorEastAsia" w:hAnsiTheme="minorEastAsia" w:eastAsiaTheme="minorEastAsia" w:cstheme="minorEastAsia"/>
          <w:color w:val="auto"/>
          <w:sz w:val="52"/>
          <w:szCs w:val="52"/>
        </w:rPr>
        <w:t xml:space="preserve">府</w:t>
      </w:r>
      <w:r/>
    </w:p>
    <w:p>
      <w:pPr>
        <w:jc w:val="center"/>
        <w:rPr>
          <w:rFonts w:hint="eastAsia" w:asciiTheme="minorEastAsia" w:hAnsiTheme="minorEastAsia" w:eastAsiaTheme="minorEastAsia" w:cstheme="minorEastAsia"/>
          <w:color w:val="auto"/>
          <w:sz w:val="52"/>
          <w:szCs w:val="52"/>
        </w:rPr>
      </w:pPr>
      <w:r>
        <w:rPr>
          <w:rFonts w:hint="eastAsia" w:asciiTheme="minorEastAsia" w:hAnsiTheme="minorEastAsia" w:eastAsiaTheme="minorEastAsia" w:cstheme="minorEastAsia"/>
          <w:color w:val="auto"/>
          <w:sz w:val="52"/>
          <w:szCs w:val="52"/>
        </w:rPr>
        <w:t xml:space="preserve">采</w:t>
      </w:r>
      <w:r/>
    </w:p>
    <w:p>
      <w:pPr>
        <w:jc w:val="center"/>
        <w:rPr>
          <w:rFonts w:hint="eastAsia" w:asciiTheme="minorEastAsia" w:hAnsiTheme="minorEastAsia" w:eastAsiaTheme="minorEastAsia" w:cstheme="minorEastAsia"/>
          <w:color w:val="auto"/>
          <w:sz w:val="52"/>
          <w:szCs w:val="52"/>
        </w:rPr>
      </w:pPr>
      <w:r>
        <w:rPr>
          <w:rFonts w:hint="eastAsia" w:asciiTheme="minorEastAsia" w:hAnsiTheme="minorEastAsia" w:eastAsiaTheme="minorEastAsia" w:cstheme="minorEastAsia"/>
          <w:color w:val="auto"/>
          <w:sz w:val="52"/>
          <w:szCs w:val="52"/>
        </w:rPr>
        <w:t xml:space="preserve">购</w:t>
      </w:r>
      <w:r/>
    </w:p>
    <w:p>
      <w:pPr>
        <w:jc w:val="center"/>
        <w:rPr>
          <w:rFonts w:hint="eastAsia" w:asciiTheme="minorEastAsia" w:hAnsiTheme="minorEastAsia" w:eastAsiaTheme="minorEastAsia" w:cstheme="minorEastAsia"/>
          <w:color w:val="auto"/>
          <w:sz w:val="52"/>
          <w:szCs w:val="52"/>
        </w:rPr>
      </w:pPr>
      <w:r>
        <w:rPr>
          <w:rFonts w:hint="eastAsia" w:asciiTheme="minorEastAsia" w:hAnsiTheme="minorEastAsia" w:eastAsiaTheme="minorEastAsia" w:cstheme="minorEastAsia"/>
          <w:color w:val="auto"/>
          <w:sz w:val="52"/>
          <w:szCs w:val="52"/>
        </w:rPr>
        <w:t xml:space="preserve">合</w:t>
      </w:r>
      <w:r/>
    </w:p>
    <w:p>
      <w:pPr>
        <w:jc w:val="center"/>
        <w:rPr>
          <w:rFonts w:hint="eastAsia" w:asciiTheme="minorEastAsia" w:hAnsiTheme="minorEastAsia" w:eastAsiaTheme="minorEastAsia" w:cstheme="minorEastAsia"/>
          <w:color w:val="auto"/>
          <w:sz w:val="52"/>
          <w:szCs w:val="52"/>
        </w:rPr>
      </w:pPr>
      <w:r>
        <w:rPr>
          <w:rFonts w:hint="eastAsia" w:asciiTheme="minorEastAsia" w:hAnsiTheme="minorEastAsia" w:eastAsiaTheme="minorEastAsia" w:cstheme="minorEastAsia"/>
          <w:color w:val="auto"/>
          <w:sz w:val="52"/>
          <w:szCs w:val="52"/>
        </w:rPr>
        <w:t xml:space="preserve">同</w:t>
      </w:r>
      <w:r/>
    </w:p>
    <w:p>
      <w:pPr>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pStyle w:val="856"/>
        <w:rPr>
          <w:color w:val="auto"/>
        </w:rPr>
      </w:pPr>
      <w:r>
        <w:rPr>
          <w:color w:val="auto"/>
        </w:rPr>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采购人：</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中标人：</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合同签订日期：   年   月   日</w:t>
      </w:r>
      <w:r/>
    </w:p>
    <w:p>
      <w:pPr>
        <w:ind w:firstLine="482"/>
        <w:spacing w:line="360" w:lineRule="auto"/>
        <w:rPr>
          <w:rFonts w:hint="eastAsia" w:asciiTheme="minorEastAsia" w:hAnsiTheme="minorEastAsia" w:eastAsiaTheme="minorEastAsia" w:cstheme="minorEastAsia"/>
          <w:b/>
          <w:bCs/>
          <w:color w:val="auto"/>
          <w:sz w:val="24"/>
        </w:rPr>
      </w:pPr>
      <w:r>
        <w:rPr>
          <w:rFonts w:hint="eastAsia" w:asciiTheme="minorEastAsia" w:hAnsiTheme="minorEastAsia" w:eastAsiaTheme="minorEastAsia" w:cstheme="minorEastAsia"/>
          <w:b/>
          <w:bCs/>
          <w:color w:val="auto"/>
          <w:sz w:val="24"/>
        </w:rPr>
        <w:t xml:space="preserve">友情提醒：采购人与中标、成交供应商应当在中标、成交通知书发出之日起三十日内，按照采购文件确定的事项签订政府采购合同。</w:t>
      </w:r>
      <w:r/>
    </w:p>
    <w:p>
      <w:pPr>
        <w:ind w:firstLine="482"/>
        <w:spacing w:line="360" w:lineRule="auto"/>
        <w:rPr>
          <w:rFonts w:hint="eastAsia" w:asciiTheme="minorEastAsia" w:hAnsiTheme="minorEastAsia" w:eastAsiaTheme="minorEastAsia" w:cstheme="minorEastAsia"/>
          <w:b/>
          <w:bCs/>
          <w:color w:val="auto"/>
          <w:sz w:val="24"/>
        </w:rPr>
      </w:pPr>
      <w:r>
        <w:rPr>
          <w:rFonts w:hint="eastAsia" w:asciiTheme="minorEastAsia" w:hAnsiTheme="minorEastAsia" w:eastAsiaTheme="minorEastAsia" w:cstheme="minorEastAsia"/>
          <w:b/>
          <w:bCs/>
          <w:color w:val="auto"/>
          <w:sz w:val="24"/>
        </w:rPr>
        <w:t xml:space="preserve">采购人应当自政府采购合同签订之日起2个工作日内，将政府采购合同在省级以上人民政府财政部门指定的媒体上公告，但政府采购合同中涉及国家秘密、商业秘密的内容除外。</w:t>
      </w:r>
      <w:r/>
    </w:p>
    <w:p>
      <w:pPr>
        <w:jc w:val="center"/>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第一部分 合同协议书</w:t>
      </w:r>
      <w:r/>
    </w:p>
    <w:p>
      <w:pPr>
        <w:spacing w:line="360" w:lineRule="auto"/>
        <w:rPr>
          <w:rFonts w:hint="eastAsia" w:asciiTheme="minorEastAsia" w:hAnsiTheme="minorEastAsia" w:eastAsiaTheme="minorEastAsia" w:cstheme="minorEastAsia"/>
          <w:b/>
          <w:bCs/>
          <w:color w:val="auto"/>
          <w:sz w:val="24"/>
        </w:rPr>
      </w:pPr>
      <w:r>
        <w:rPr>
          <w:rFonts w:hint="eastAsia" w:asciiTheme="minorEastAsia" w:hAnsiTheme="minorEastAsia" w:eastAsiaTheme="minorEastAsia" w:cstheme="minorEastAsia"/>
          <w:b/>
          <w:bCs/>
          <w:color w:val="auto"/>
          <w:sz w:val="24"/>
        </w:rPr>
        <w:t xml:space="preserve">甲方（采购人）： </w:t>
      </w:r>
      <w:r/>
    </w:p>
    <w:p>
      <w:pPr>
        <w:spacing w:line="360" w:lineRule="auto"/>
        <w:rPr>
          <w:rFonts w:hint="eastAsia" w:asciiTheme="minorEastAsia" w:hAnsiTheme="minorEastAsia" w:eastAsiaTheme="minorEastAsia" w:cstheme="minorEastAsia"/>
          <w:b/>
          <w:bCs/>
          <w:color w:val="auto"/>
          <w:sz w:val="24"/>
        </w:rPr>
      </w:pPr>
      <w:r>
        <w:rPr>
          <w:rFonts w:hint="eastAsia" w:asciiTheme="minorEastAsia" w:hAnsiTheme="minorEastAsia" w:eastAsiaTheme="minorEastAsia" w:cstheme="minorEastAsia"/>
          <w:b/>
          <w:bCs/>
          <w:color w:val="auto"/>
          <w:sz w:val="24"/>
        </w:rPr>
        <w:t xml:space="preserve">地址： </w:t>
      </w:r>
      <w:r/>
    </w:p>
    <w:p>
      <w:pPr>
        <w:spacing w:line="360" w:lineRule="auto"/>
        <w:rPr>
          <w:rFonts w:hint="eastAsia" w:asciiTheme="minorEastAsia" w:hAnsiTheme="minorEastAsia" w:eastAsiaTheme="minorEastAsia" w:cstheme="minorEastAsia"/>
          <w:b/>
          <w:bCs/>
          <w:color w:val="auto"/>
          <w:sz w:val="24"/>
        </w:rPr>
      </w:pPr>
      <w:r>
        <w:rPr>
          <w:rFonts w:hint="eastAsia" w:asciiTheme="minorEastAsia" w:hAnsiTheme="minorEastAsia" w:eastAsiaTheme="minorEastAsia" w:cstheme="minorEastAsia"/>
          <w:b/>
          <w:bCs/>
          <w:color w:val="auto"/>
          <w:sz w:val="24"/>
        </w:rPr>
        <w:t xml:space="preserve">电话： </w:t>
      </w:r>
      <w:r/>
    </w:p>
    <w:p>
      <w:pPr>
        <w:spacing w:line="360" w:lineRule="auto"/>
        <w:rPr>
          <w:rFonts w:hint="eastAsia" w:asciiTheme="minorEastAsia" w:hAnsiTheme="minorEastAsia" w:eastAsiaTheme="minorEastAsia" w:cstheme="minorEastAsia"/>
          <w:b/>
          <w:bCs/>
          <w:color w:val="auto"/>
          <w:sz w:val="24"/>
        </w:rPr>
      </w:pPr>
      <w:r>
        <w:rPr>
          <w:rFonts w:hint="eastAsia" w:asciiTheme="minorEastAsia" w:hAnsiTheme="minorEastAsia" w:eastAsiaTheme="minorEastAsia" w:cstheme="minorEastAsia"/>
          <w:b/>
          <w:bCs/>
          <w:color w:val="auto"/>
          <w:sz w:val="24"/>
        </w:rPr>
      </w:r>
      <w:r/>
    </w:p>
    <w:p>
      <w:pPr>
        <w:spacing w:line="360" w:lineRule="auto"/>
        <w:rPr>
          <w:rFonts w:hint="eastAsia" w:asciiTheme="minorEastAsia" w:hAnsiTheme="minorEastAsia" w:eastAsiaTheme="minorEastAsia" w:cstheme="minorEastAsia"/>
          <w:b/>
          <w:bCs/>
          <w:color w:val="auto"/>
          <w:sz w:val="24"/>
        </w:rPr>
      </w:pPr>
      <w:r>
        <w:rPr>
          <w:rFonts w:hint="eastAsia" w:asciiTheme="minorEastAsia" w:hAnsiTheme="minorEastAsia" w:eastAsiaTheme="minorEastAsia" w:cstheme="minorEastAsia"/>
          <w:b/>
          <w:bCs/>
          <w:color w:val="auto"/>
          <w:sz w:val="24"/>
        </w:rPr>
        <w:t xml:space="preserve">乙方（中标人）：</w:t>
      </w:r>
      <w:r/>
    </w:p>
    <w:p>
      <w:pPr>
        <w:spacing w:line="360" w:lineRule="auto"/>
        <w:rPr>
          <w:rFonts w:hint="eastAsia" w:asciiTheme="minorEastAsia" w:hAnsiTheme="minorEastAsia" w:eastAsiaTheme="minorEastAsia" w:cstheme="minorEastAsia"/>
          <w:b/>
          <w:bCs/>
          <w:color w:val="auto"/>
          <w:sz w:val="24"/>
        </w:rPr>
      </w:pPr>
      <w:r>
        <w:rPr>
          <w:rFonts w:hint="eastAsia" w:asciiTheme="minorEastAsia" w:hAnsiTheme="minorEastAsia" w:eastAsiaTheme="minorEastAsia" w:cstheme="minorEastAsia"/>
          <w:b/>
          <w:bCs/>
          <w:color w:val="auto"/>
          <w:sz w:val="24"/>
        </w:rPr>
        <w:t xml:space="preserve">地址：</w:t>
      </w:r>
      <w:r/>
    </w:p>
    <w:p>
      <w:pPr>
        <w:spacing w:line="360" w:lineRule="auto"/>
        <w:rPr>
          <w:rFonts w:hint="eastAsia" w:asciiTheme="minorEastAsia" w:hAnsiTheme="minorEastAsia" w:eastAsiaTheme="minorEastAsia" w:cstheme="minorEastAsia"/>
          <w:b/>
          <w:bCs/>
          <w:color w:val="auto"/>
          <w:sz w:val="24"/>
        </w:rPr>
      </w:pPr>
      <w:r>
        <w:rPr>
          <w:rFonts w:hint="eastAsia" w:asciiTheme="minorEastAsia" w:hAnsiTheme="minorEastAsia" w:eastAsiaTheme="minorEastAsia" w:cstheme="minorEastAsia"/>
          <w:b/>
          <w:bCs/>
          <w:color w:val="auto"/>
          <w:sz w:val="24"/>
        </w:rPr>
        <w:t xml:space="preserve">电话：</w:t>
      </w:r>
      <w:r/>
    </w:p>
    <w:p>
      <w:pPr>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根据《中华人民共和国民法典》《中华人民共和国政府采购》等相关法律法规的规定以及JSZC-320300-ZCGL-G2025-0016号招标文件及乙方的投标文件和中标通知书，甲乙双方就此次中标的      项目（以下简称“本项目”），签订本合同，以兹共同遵守。</w:t>
      </w:r>
      <w:r/>
    </w:p>
    <w:p>
      <w:pPr>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一、采购内容</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1.招标范围</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本项目分为1个标段，具体如下：对12座桥梁进行健康监测设备的采购、安装调试、3年缺陷责任期、2年运营服务期；监测的主要工作内容包括：</w:t>
      </w:r>
      <w:r/>
    </w:p>
    <w:tbl>
      <w:tblPr>
        <w:tblStyle w:val="86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7"/>
        <w:gridCol w:w="2150"/>
        <w:gridCol w:w="1720"/>
        <w:gridCol w:w="3254"/>
        <w:gridCol w:w="1971"/>
      </w:tblGrid>
      <w:tr>
        <w:trPr>
          <w:trHeight w:val="567"/>
        </w:trPr>
        <w:tc>
          <w:tcPr>
            <w:tcW w:w="757" w:type="dxa"/>
            <w:vAlign w:val="center"/>
            <w:textDirection w:val="lrTb"/>
            <w:noWrap w:val="false"/>
          </w:tcPr>
          <w:p>
            <w:pPr>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序号</w:t>
            </w:r>
            <w:r/>
          </w:p>
        </w:tc>
        <w:tc>
          <w:tcPr>
            <w:tcW w:w="2150" w:type="dxa"/>
            <w:vAlign w:val="center"/>
            <w:textDirection w:val="lrTb"/>
            <w:noWrap w:val="false"/>
          </w:tcPr>
          <w:p>
            <w:pPr>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桥梁名称</w:t>
            </w:r>
            <w:r/>
          </w:p>
        </w:tc>
        <w:tc>
          <w:tcPr>
            <w:tcW w:w="1720" w:type="dxa"/>
            <w:vAlign w:val="center"/>
            <w:textDirection w:val="lrTb"/>
            <w:noWrap w:val="false"/>
          </w:tcPr>
          <w:p>
            <w:pPr>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结构形式</w:t>
            </w:r>
            <w:r/>
          </w:p>
        </w:tc>
        <w:tc>
          <w:tcPr>
            <w:tcW w:w="3254" w:type="dxa"/>
            <w:vAlign w:val="center"/>
            <w:textDirection w:val="lrTb"/>
            <w:noWrap w:val="false"/>
          </w:tcPr>
          <w:p>
            <w:pPr>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监测场景</w:t>
            </w:r>
            <w:r/>
          </w:p>
        </w:tc>
        <w:tc>
          <w:tcPr>
            <w:tcW w:w="1971" w:type="dxa"/>
            <w:vAlign w:val="center"/>
            <w:textDirection w:val="lrTb"/>
            <w:noWrap w:val="false"/>
          </w:tcPr>
          <w:p>
            <w:pPr>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拟监测内容</w:t>
            </w:r>
            <w:r/>
          </w:p>
        </w:tc>
      </w:tr>
      <w:tr>
        <w:trPr/>
        <w:tc>
          <w:tcPr>
            <w:tcW w:w="757" w:type="dxa"/>
            <w:vAlign w:val="center"/>
            <w:textDirection w:val="lrTb"/>
            <w:noWrap w:val="false"/>
          </w:tcPr>
          <w:p>
            <w:pPr>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1</w:t>
            </w:r>
            <w:r/>
          </w:p>
        </w:tc>
        <w:tc>
          <w:tcPr>
            <w:tcW w:w="2150" w:type="dxa"/>
            <w:vAlign w:val="center"/>
            <w:textDirection w:val="lrTb"/>
            <w:noWrap w:val="false"/>
          </w:tcPr>
          <w:p>
            <w:pPr>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汉桥</w:t>
            </w:r>
            <w:r/>
          </w:p>
        </w:tc>
        <w:tc>
          <w:tcPr>
            <w:tcW w:w="1720" w:type="dxa"/>
            <w:vAlign w:val="center"/>
            <w:textDirection w:val="lrTb"/>
            <w:noWrap w:val="false"/>
          </w:tcPr>
          <w:p>
            <w:pPr>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等截面整体现浇箱梁桥</w:t>
            </w:r>
            <w:r/>
          </w:p>
        </w:tc>
        <w:tc>
          <w:tcPr>
            <w:tcW w:w="3254" w:type="dxa"/>
            <w:vAlign w:val="center"/>
            <w:textDirection w:val="lrTb"/>
            <w:noWrap w:val="false"/>
          </w:tcPr>
          <w:p>
            <w:pPr>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允许载货汽车通行</w:t>
            </w:r>
            <w:r/>
          </w:p>
        </w:tc>
        <w:tc>
          <w:tcPr>
            <w:tcW w:w="1971" w:type="dxa"/>
            <w:vAlign w:val="center"/>
            <w:textDirection w:val="lrTb"/>
            <w:noWrap w:val="false"/>
          </w:tcPr>
          <w:p>
            <w:pPr>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竖向位移、应变</w:t>
            </w:r>
            <w:r/>
          </w:p>
        </w:tc>
      </w:tr>
      <w:tr>
        <w:trPr/>
        <w:tc>
          <w:tcPr>
            <w:tcW w:w="757" w:type="dxa"/>
            <w:vAlign w:val="center"/>
            <w:textDirection w:val="lrTb"/>
            <w:noWrap w:val="false"/>
          </w:tcPr>
          <w:p>
            <w:pPr>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2</w:t>
            </w:r>
            <w:r/>
          </w:p>
        </w:tc>
        <w:tc>
          <w:tcPr>
            <w:tcW w:w="2150" w:type="dxa"/>
            <w:vAlign w:val="center"/>
            <w:textDirection w:val="lrTb"/>
            <w:noWrap w:val="false"/>
          </w:tcPr>
          <w:p>
            <w:pPr>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政府桥</w:t>
            </w:r>
            <w:r/>
          </w:p>
        </w:tc>
        <w:tc>
          <w:tcPr>
            <w:tcW w:w="1720" w:type="dxa"/>
            <w:vAlign w:val="center"/>
            <w:textDirection w:val="lrTb"/>
            <w:noWrap w:val="false"/>
          </w:tcPr>
          <w:p>
            <w:pPr>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空心板梁</w:t>
            </w:r>
            <w:r/>
          </w:p>
        </w:tc>
        <w:tc>
          <w:tcPr>
            <w:tcW w:w="3254" w:type="dxa"/>
            <w:vAlign w:val="center"/>
            <w:textDirection w:val="lrTb"/>
            <w:noWrap w:val="false"/>
          </w:tcPr>
          <w:p>
            <w:pPr>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服役年限超过 30 年且存在明显病害、多片梁结构体系</w:t>
            </w:r>
            <w:r/>
          </w:p>
        </w:tc>
        <w:tc>
          <w:tcPr>
            <w:tcW w:w="1971" w:type="dxa"/>
            <w:vAlign w:val="center"/>
            <w:textDirection w:val="lrTb"/>
            <w:noWrap w:val="false"/>
          </w:tcPr>
          <w:p>
            <w:pPr>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竖向位移、应变</w:t>
            </w:r>
            <w:r/>
          </w:p>
        </w:tc>
      </w:tr>
      <w:tr>
        <w:trPr/>
        <w:tc>
          <w:tcPr>
            <w:tcW w:w="757" w:type="dxa"/>
            <w:vAlign w:val="center"/>
            <w:textDirection w:val="lrTb"/>
            <w:noWrap w:val="false"/>
          </w:tcPr>
          <w:p>
            <w:pPr>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3</w:t>
            </w:r>
            <w:r/>
          </w:p>
        </w:tc>
        <w:tc>
          <w:tcPr>
            <w:tcW w:w="2150" w:type="dxa"/>
            <w:vAlign w:val="center"/>
            <w:textDirection w:val="lrTb"/>
            <w:noWrap w:val="false"/>
          </w:tcPr>
          <w:p>
            <w:pPr>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南门桥</w:t>
            </w:r>
            <w:r/>
          </w:p>
        </w:tc>
        <w:tc>
          <w:tcPr>
            <w:tcW w:w="1720" w:type="dxa"/>
            <w:vAlign w:val="center"/>
            <w:textDirection w:val="lrTb"/>
            <w:noWrap w:val="false"/>
          </w:tcPr>
          <w:p>
            <w:pPr>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空心板梁</w:t>
            </w:r>
            <w:r/>
          </w:p>
        </w:tc>
        <w:tc>
          <w:tcPr>
            <w:tcW w:w="3254" w:type="dxa"/>
            <w:vAlign w:val="center"/>
            <w:textDirection w:val="lrTb"/>
            <w:noWrap w:val="false"/>
          </w:tcPr>
          <w:p>
            <w:pPr>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服役年限超过 30 年且存在明显病害、多片梁结构体系</w:t>
            </w:r>
            <w:r/>
          </w:p>
        </w:tc>
        <w:tc>
          <w:tcPr>
            <w:tcW w:w="1971" w:type="dxa"/>
            <w:vAlign w:val="center"/>
            <w:textDirection w:val="lrTb"/>
            <w:noWrap w:val="false"/>
          </w:tcPr>
          <w:p>
            <w:pPr>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竖向位移、应变</w:t>
            </w:r>
            <w:r/>
          </w:p>
        </w:tc>
      </w:tr>
      <w:tr>
        <w:trPr/>
        <w:tc>
          <w:tcPr>
            <w:tcW w:w="757" w:type="dxa"/>
            <w:vAlign w:val="center"/>
            <w:textDirection w:val="lrTb"/>
            <w:noWrap w:val="false"/>
          </w:tcPr>
          <w:p>
            <w:pPr>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4</w:t>
            </w:r>
            <w:r/>
          </w:p>
        </w:tc>
        <w:tc>
          <w:tcPr>
            <w:tcW w:w="2150" w:type="dxa"/>
            <w:vAlign w:val="center"/>
            <w:textDirection w:val="lrTb"/>
            <w:noWrap w:val="false"/>
          </w:tcPr>
          <w:p>
            <w:pPr>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庆丰路桥</w:t>
            </w:r>
            <w:r/>
          </w:p>
        </w:tc>
        <w:tc>
          <w:tcPr>
            <w:tcW w:w="1720" w:type="dxa"/>
            <w:vAlign w:val="center"/>
            <w:textDirection w:val="lrTb"/>
            <w:noWrap w:val="false"/>
          </w:tcPr>
          <w:p>
            <w:pPr>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空心板梁</w:t>
            </w:r>
            <w:r/>
          </w:p>
        </w:tc>
        <w:tc>
          <w:tcPr>
            <w:tcW w:w="3254" w:type="dxa"/>
            <w:vAlign w:val="center"/>
            <w:textDirection w:val="lrTb"/>
            <w:noWrap w:val="false"/>
          </w:tcPr>
          <w:p>
            <w:pPr>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允许载货汽车通行、多片梁结构体系</w:t>
            </w:r>
            <w:r/>
          </w:p>
        </w:tc>
        <w:tc>
          <w:tcPr>
            <w:tcW w:w="1971" w:type="dxa"/>
            <w:vAlign w:val="center"/>
            <w:textDirection w:val="lrTb"/>
            <w:noWrap w:val="false"/>
          </w:tcPr>
          <w:p>
            <w:pPr>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竖向位移、应变</w:t>
            </w:r>
            <w:r/>
          </w:p>
        </w:tc>
      </w:tr>
      <w:tr>
        <w:trPr/>
        <w:tc>
          <w:tcPr>
            <w:tcW w:w="757" w:type="dxa"/>
            <w:vAlign w:val="center"/>
            <w:textDirection w:val="lrTb"/>
            <w:noWrap w:val="false"/>
          </w:tcPr>
          <w:p>
            <w:pPr>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5</w:t>
            </w:r>
            <w:r/>
          </w:p>
        </w:tc>
        <w:tc>
          <w:tcPr>
            <w:tcW w:w="2150" w:type="dxa"/>
            <w:vAlign w:val="center"/>
            <w:textDirection w:val="lrTb"/>
            <w:noWrap w:val="false"/>
          </w:tcPr>
          <w:p>
            <w:pPr>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西月河桥</w:t>
            </w:r>
            <w:r/>
          </w:p>
        </w:tc>
        <w:tc>
          <w:tcPr>
            <w:tcW w:w="1720" w:type="dxa"/>
            <w:vAlign w:val="center"/>
            <w:textDirection w:val="lrTb"/>
            <w:noWrap w:val="false"/>
          </w:tcPr>
          <w:p>
            <w:pPr>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空心板梁</w:t>
            </w:r>
            <w:r/>
          </w:p>
        </w:tc>
        <w:tc>
          <w:tcPr>
            <w:tcW w:w="3254" w:type="dxa"/>
            <w:vAlign w:val="center"/>
            <w:textDirection w:val="lrTb"/>
            <w:noWrap w:val="false"/>
          </w:tcPr>
          <w:p>
            <w:pPr>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允许载货汽车通行、多片梁结构体系</w:t>
            </w:r>
            <w:r/>
          </w:p>
        </w:tc>
        <w:tc>
          <w:tcPr>
            <w:tcW w:w="1971" w:type="dxa"/>
            <w:vAlign w:val="center"/>
            <w:textDirection w:val="lrTb"/>
            <w:noWrap w:val="false"/>
          </w:tcPr>
          <w:p>
            <w:pPr>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竖向位移、应变</w:t>
            </w:r>
            <w:r/>
          </w:p>
        </w:tc>
      </w:tr>
      <w:tr>
        <w:trPr/>
        <w:tc>
          <w:tcPr>
            <w:tcW w:w="757" w:type="dxa"/>
            <w:vAlign w:val="center"/>
            <w:textDirection w:val="lrTb"/>
            <w:noWrap w:val="false"/>
          </w:tcPr>
          <w:p>
            <w:pPr>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6</w:t>
            </w:r>
            <w:r/>
          </w:p>
        </w:tc>
        <w:tc>
          <w:tcPr>
            <w:tcW w:w="2150" w:type="dxa"/>
            <w:vAlign w:val="center"/>
            <w:textDirection w:val="lrTb"/>
            <w:noWrap w:val="false"/>
          </w:tcPr>
          <w:p>
            <w:pPr>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琅河5号桥</w:t>
            </w:r>
            <w:r/>
          </w:p>
        </w:tc>
        <w:tc>
          <w:tcPr>
            <w:tcW w:w="1720" w:type="dxa"/>
            <w:vAlign w:val="center"/>
            <w:textDirection w:val="lrTb"/>
            <w:noWrap w:val="false"/>
          </w:tcPr>
          <w:p>
            <w:pPr>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PC 空心板梁</w:t>
            </w:r>
            <w:r/>
          </w:p>
        </w:tc>
        <w:tc>
          <w:tcPr>
            <w:tcW w:w="3254" w:type="dxa"/>
            <w:vAlign w:val="center"/>
            <w:textDirection w:val="lrTb"/>
            <w:noWrap w:val="false"/>
          </w:tcPr>
          <w:p>
            <w:pPr>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允许载货汽车通行、多片梁结构体系</w:t>
            </w:r>
            <w:r/>
          </w:p>
        </w:tc>
        <w:tc>
          <w:tcPr>
            <w:tcW w:w="1971" w:type="dxa"/>
            <w:vAlign w:val="center"/>
            <w:textDirection w:val="lrTb"/>
            <w:noWrap w:val="false"/>
          </w:tcPr>
          <w:p>
            <w:pPr>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竖向位移</w:t>
            </w:r>
            <w:r/>
          </w:p>
        </w:tc>
      </w:tr>
      <w:tr>
        <w:trPr/>
        <w:tc>
          <w:tcPr>
            <w:tcW w:w="757" w:type="dxa"/>
            <w:vAlign w:val="center"/>
            <w:textDirection w:val="lrTb"/>
            <w:noWrap w:val="false"/>
          </w:tcPr>
          <w:p>
            <w:pPr>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7</w:t>
            </w:r>
            <w:r/>
          </w:p>
        </w:tc>
        <w:tc>
          <w:tcPr>
            <w:tcW w:w="2150" w:type="dxa"/>
            <w:vAlign w:val="center"/>
            <w:textDirection w:val="lrTb"/>
            <w:noWrap w:val="false"/>
          </w:tcPr>
          <w:p>
            <w:pPr>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顺堤河汉风路桥</w:t>
            </w:r>
            <w:r/>
          </w:p>
        </w:tc>
        <w:tc>
          <w:tcPr>
            <w:tcW w:w="1720" w:type="dxa"/>
            <w:vAlign w:val="center"/>
            <w:textDirection w:val="lrTb"/>
            <w:noWrap w:val="false"/>
          </w:tcPr>
          <w:p>
            <w:pPr>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变截面连续梁</w:t>
            </w:r>
            <w:r/>
          </w:p>
        </w:tc>
        <w:tc>
          <w:tcPr>
            <w:tcW w:w="3254" w:type="dxa"/>
            <w:vAlign w:val="center"/>
            <w:textDirection w:val="lrTb"/>
            <w:noWrap w:val="false"/>
          </w:tcPr>
          <w:p>
            <w:pPr>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允许载货汽车通行</w:t>
            </w:r>
            <w:r/>
          </w:p>
        </w:tc>
        <w:tc>
          <w:tcPr>
            <w:tcW w:w="1971" w:type="dxa"/>
            <w:vAlign w:val="center"/>
            <w:textDirection w:val="lrTb"/>
            <w:noWrap w:val="false"/>
          </w:tcPr>
          <w:p>
            <w:pPr>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竖向位移、应变、视频抓拍</w:t>
            </w:r>
            <w:r/>
          </w:p>
        </w:tc>
      </w:tr>
      <w:tr>
        <w:trPr/>
        <w:tc>
          <w:tcPr>
            <w:tcW w:w="757" w:type="dxa"/>
            <w:vAlign w:val="center"/>
            <w:textDirection w:val="lrTb"/>
            <w:noWrap w:val="false"/>
          </w:tcPr>
          <w:p>
            <w:pPr>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8</w:t>
            </w:r>
            <w:r/>
          </w:p>
        </w:tc>
        <w:tc>
          <w:tcPr>
            <w:tcW w:w="2150" w:type="dxa"/>
            <w:vAlign w:val="center"/>
            <w:textDirection w:val="lrTb"/>
            <w:noWrap w:val="false"/>
          </w:tcPr>
          <w:p>
            <w:pPr>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金川路纬一河桥</w:t>
            </w:r>
            <w:r/>
          </w:p>
        </w:tc>
        <w:tc>
          <w:tcPr>
            <w:tcW w:w="1720" w:type="dxa"/>
            <w:vAlign w:val="center"/>
            <w:textDirection w:val="lrTb"/>
            <w:noWrap w:val="false"/>
          </w:tcPr>
          <w:p>
            <w:pPr>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PC 空心板梁</w:t>
            </w:r>
            <w:r/>
          </w:p>
        </w:tc>
        <w:tc>
          <w:tcPr>
            <w:tcW w:w="3254" w:type="dxa"/>
            <w:vAlign w:val="center"/>
            <w:textDirection w:val="lrTb"/>
            <w:noWrap w:val="false"/>
          </w:tcPr>
          <w:p>
            <w:pPr>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允许载货汽车通行、多片梁结构体系</w:t>
            </w:r>
            <w:r/>
          </w:p>
        </w:tc>
        <w:tc>
          <w:tcPr>
            <w:tcW w:w="1971" w:type="dxa"/>
            <w:vAlign w:val="center"/>
            <w:textDirection w:val="lrTb"/>
            <w:noWrap w:val="false"/>
          </w:tcPr>
          <w:p>
            <w:pPr>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竖向位移</w:t>
            </w:r>
            <w:r/>
          </w:p>
        </w:tc>
      </w:tr>
      <w:tr>
        <w:trPr/>
        <w:tc>
          <w:tcPr>
            <w:tcW w:w="757" w:type="dxa"/>
            <w:vAlign w:val="center"/>
            <w:textDirection w:val="lrTb"/>
            <w:noWrap w:val="false"/>
          </w:tcPr>
          <w:p>
            <w:pPr>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9</w:t>
            </w:r>
            <w:r/>
          </w:p>
        </w:tc>
        <w:tc>
          <w:tcPr>
            <w:tcW w:w="2150" w:type="dxa"/>
            <w:vAlign w:val="center"/>
            <w:textDirection w:val="lrTb"/>
            <w:noWrap w:val="false"/>
          </w:tcPr>
          <w:p>
            <w:pPr>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解放北路高架桥</w:t>
            </w:r>
            <w:r/>
          </w:p>
        </w:tc>
        <w:tc>
          <w:tcPr>
            <w:tcW w:w="1720" w:type="dxa"/>
            <w:vAlign w:val="center"/>
            <w:textDirection w:val="lrTb"/>
            <w:noWrap w:val="false"/>
          </w:tcPr>
          <w:p>
            <w:pPr>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变截面连续梁</w:t>
            </w:r>
            <w:r/>
          </w:p>
        </w:tc>
        <w:tc>
          <w:tcPr>
            <w:tcW w:w="3254" w:type="dxa"/>
            <w:vAlign w:val="center"/>
            <w:textDirection w:val="lrTb"/>
            <w:noWrap w:val="false"/>
          </w:tcPr>
          <w:p>
            <w:pPr>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城市道路高架桥中曲线匝道段和独柱墩段等</w:t>
            </w:r>
            <w:r/>
          </w:p>
        </w:tc>
        <w:tc>
          <w:tcPr>
            <w:tcW w:w="1971" w:type="dxa"/>
            <w:vAlign w:val="center"/>
            <w:textDirection w:val="lrTb"/>
            <w:noWrap w:val="false"/>
          </w:tcPr>
          <w:p>
            <w:pPr>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竖向位移、应变、支座偏位、视频抓拍</w:t>
            </w:r>
            <w:r/>
          </w:p>
        </w:tc>
      </w:tr>
      <w:tr>
        <w:trPr/>
        <w:tc>
          <w:tcPr>
            <w:tcW w:w="757" w:type="dxa"/>
            <w:vAlign w:val="center"/>
            <w:textDirection w:val="lrTb"/>
            <w:noWrap w:val="false"/>
          </w:tcPr>
          <w:p>
            <w:pPr>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10</w:t>
            </w:r>
            <w:r/>
          </w:p>
        </w:tc>
        <w:tc>
          <w:tcPr>
            <w:tcW w:w="2150" w:type="dxa"/>
            <w:vAlign w:val="center"/>
            <w:textDirection w:val="lrTb"/>
            <w:noWrap w:val="false"/>
          </w:tcPr>
          <w:p>
            <w:pPr>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金山东路跨三环路桥</w:t>
            </w:r>
            <w:r/>
          </w:p>
        </w:tc>
        <w:tc>
          <w:tcPr>
            <w:tcW w:w="1720" w:type="dxa"/>
            <w:vAlign w:val="center"/>
            <w:textDirection w:val="lrTb"/>
            <w:noWrap w:val="false"/>
          </w:tcPr>
          <w:p>
            <w:pPr>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预应力砼简支小箱梁</w:t>
            </w:r>
            <w:r/>
          </w:p>
        </w:tc>
        <w:tc>
          <w:tcPr>
            <w:tcW w:w="3254" w:type="dxa"/>
            <w:vAlign w:val="center"/>
            <w:textDirection w:val="lrTb"/>
            <w:noWrap w:val="false"/>
          </w:tcPr>
          <w:p>
            <w:pPr>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多片梁结构体系</w:t>
            </w:r>
            <w:r/>
          </w:p>
        </w:tc>
        <w:tc>
          <w:tcPr>
            <w:tcW w:w="1971" w:type="dxa"/>
            <w:vAlign w:val="center"/>
            <w:textDirection w:val="lrTb"/>
            <w:noWrap w:val="false"/>
          </w:tcPr>
          <w:p>
            <w:pPr>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竖向位移、视频抓拍</w:t>
            </w:r>
            <w:r/>
          </w:p>
        </w:tc>
      </w:tr>
      <w:tr>
        <w:trPr/>
        <w:tc>
          <w:tcPr>
            <w:tcW w:w="757" w:type="dxa"/>
            <w:vAlign w:val="center"/>
            <w:textDirection w:val="lrTb"/>
            <w:noWrap w:val="false"/>
          </w:tcPr>
          <w:p>
            <w:pPr>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11</w:t>
            </w:r>
            <w:r/>
          </w:p>
        </w:tc>
        <w:tc>
          <w:tcPr>
            <w:tcW w:w="2150" w:type="dxa"/>
            <w:vAlign w:val="center"/>
            <w:textDirection w:val="lrTb"/>
            <w:noWrap w:val="false"/>
          </w:tcPr>
          <w:p>
            <w:pPr>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七里沟立交上行桥</w:t>
            </w:r>
            <w:r/>
          </w:p>
        </w:tc>
        <w:tc>
          <w:tcPr>
            <w:tcW w:w="1720" w:type="dxa"/>
            <w:vAlign w:val="center"/>
            <w:textDirection w:val="lrTb"/>
            <w:noWrap w:val="false"/>
          </w:tcPr>
          <w:p>
            <w:pPr>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空心板梁</w:t>
            </w:r>
            <w:r/>
          </w:p>
        </w:tc>
        <w:tc>
          <w:tcPr>
            <w:tcW w:w="3254" w:type="dxa"/>
            <w:vAlign w:val="center"/>
            <w:textDirection w:val="lrTb"/>
            <w:noWrap w:val="false"/>
          </w:tcPr>
          <w:p>
            <w:pPr>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允许载货汽车通行、多片梁结构体系</w:t>
            </w:r>
            <w:r/>
          </w:p>
        </w:tc>
        <w:tc>
          <w:tcPr>
            <w:tcW w:w="1971" w:type="dxa"/>
            <w:vAlign w:val="center"/>
            <w:textDirection w:val="lrTb"/>
            <w:noWrap w:val="false"/>
          </w:tcPr>
          <w:p>
            <w:pPr>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竖向位移、应变、视频抓拍</w:t>
            </w:r>
            <w:r/>
          </w:p>
        </w:tc>
      </w:tr>
      <w:tr>
        <w:trPr/>
        <w:tc>
          <w:tcPr>
            <w:tcW w:w="757" w:type="dxa"/>
            <w:vAlign w:val="center"/>
            <w:textDirection w:val="lrTb"/>
            <w:noWrap w:val="false"/>
          </w:tcPr>
          <w:p>
            <w:pPr>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12</w:t>
            </w:r>
            <w:r/>
          </w:p>
        </w:tc>
        <w:tc>
          <w:tcPr>
            <w:tcW w:w="2150" w:type="dxa"/>
            <w:vAlign w:val="center"/>
            <w:textDirection w:val="lrTb"/>
            <w:noWrap w:val="false"/>
          </w:tcPr>
          <w:p>
            <w:pPr>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金山东路上跨桥</w:t>
            </w:r>
            <w:r/>
          </w:p>
        </w:tc>
        <w:tc>
          <w:tcPr>
            <w:tcW w:w="1720" w:type="dxa"/>
            <w:vAlign w:val="center"/>
            <w:textDirection w:val="lrTb"/>
            <w:noWrap w:val="false"/>
          </w:tcPr>
          <w:p>
            <w:pPr>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小箱梁桥</w:t>
            </w:r>
            <w:r/>
          </w:p>
        </w:tc>
        <w:tc>
          <w:tcPr>
            <w:tcW w:w="3254" w:type="dxa"/>
            <w:vAlign w:val="center"/>
            <w:textDirection w:val="lrTb"/>
            <w:noWrap w:val="false"/>
          </w:tcPr>
          <w:p>
            <w:pPr>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允许载货汽车通行、多片梁结构体系</w:t>
            </w:r>
            <w:r/>
          </w:p>
        </w:tc>
        <w:tc>
          <w:tcPr>
            <w:tcW w:w="1971" w:type="dxa"/>
            <w:vAlign w:val="center"/>
            <w:textDirection w:val="lrTb"/>
            <w:noWrap w:val="false"/>
          </w:tcPr>
          <w:p>
            <w:pPr>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竖向位移、应变</w:t>
            </w:r>
            <w:r/>
          </w:p>
        </w:tc>
      </w:tr>
    </w:tbl>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二、服务期限、地点及服务质量</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1.服务期：前3个月为建设期，建设期结束经甲方验收合格后进入3年缺陷责任期，质保期满后进入2年运营服务期。</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2.服务地点：徐州市市域范围内</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3.服务质量：满足行业各项技术规定和国家强制性标准。</w:t>
      </w:r>
      <w:r/>
    </w:p>
    <w:p>
      <w:pPr>
        <w:ind w:firstLine="480"/>
        <w:spacing w:line="360" w:lineRule="auto"/>
        <w:rPr>
          <w:rFonts w:hint="default" w:asciiTheme="minorEastAsia" w:hAnsiTheme="minorEastAsia" w:eastAsiaTheme="minorEastAsia" w:cstheme="minorEastAsia"/>
          <w:color w:val="auto"/>
          <w:sz w:val="24"/>
          <w:lang w:val="en-US" w:eastAsia="zh-CN"/>
        </w:rPr>
      </w:pPr>
      <w:r>
        <w:rPr>
          <w:rFonts w:hint="eastAsia" w:asciiTheme="minorEastAsia" w:hAnsiTheme="minorEastAsia" w:eastAsiaTheme="minorEastAsia" w:cstheme="minorEastAsia"/>
          <w:color w:val="auto"/>
          <w:sz w:val="24"/>
        </w:rPr>
        <w:t xml:space="preserve">三、</w:t>
      </w:r>
      <w:r>
        <w:rPr>
          <w:rFonts w:hint="eastAsia" w:asciiTheme="minorEastAsia" w:hAnsiTheme="minorEastAsia" w:eastAsiaTheme="minorEastAsia" w:cstheme="minorEastAsia"/>
          <w:color w:val="auto"/>
          <w:sz w:val="24"/>
          <w:lang w:val="en-US" w:eastAsia="zh-CN"/>
        </w:rPr>
        <w:t xml:space="preserve">合同金额和付款方式</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本合同总金额为人民币大写金额        元（小写金额：       元），经双方协商一致，选择以下第    种付款方式：</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1.付款方式一：提交预付款保函的</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合同价款的百分之五十(50%)即￥          ，大写：人民币         元整，在双方签订合同后10个工作日内，卖方向买方出具等额预付款保函后，由买方办理政府采购资金结算手续支付给卖方。</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合同价款的百分之五十 (50%)即￥        ，大写：人民币         元整，结算资料报发包人，经必要双方认可的竣工结算审计完成后30日内申请支付至双方认可的结算价的100%；由买方办理政府采购资金结算手续，经审核后支付给卖方。</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卖方需提交的支付文件包括：</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卖方出具的全额正式发票；</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2.付款方式二：不提交预付款保函的</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合同价款的百分之三十(30%)即￥         ，大写：人民币         元整，在双方签订合同后10个工作日内，办理政府采购资金结算手续支付给卖方。</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合同价款的百分之七十(70%)即￥     ，大写：   人民币              元，合同标的全部交付并安装完毕通过验收后，卖方应按要求向买方报送竣工验收资料和竣工结算资料，由买方主管或财审部门办理结算审计，卖方自愿按审计结果执行，且为终局审计。待出具审计结论之日起10个工作日内一次性支付给卖方。</w:t>
      </w:r>
      <w:r/>
    </w:p>
    <w:p>
      <w:pPr>
        <w:ind w:firstLine="480"/>
        <w:spacing w:line="360" w:lineRule="auto"/>
        <w:rPr>
          <w:rFonts w:hint="eastAsia" w:asciiTheme="minorEastAsia" w:hAnsiTheme="minorEastAsia" w:eastAsiaTheme="minorEastAsia" w:cstheme="minorEastAsia"/>
          <w:color w:val="auto"/>
          <w:sz w:val="24"/>
          <w:lang w:val="en-US" w:eastAsia="zh-CN"/>
        </w:rPr>
      </w:pPr>
      <w:r>
        <w:rPr>
          <w:rFonts w:hint="eastAsia" w:asciiTheme="minorEastAsia" w:hAnsiTheme="minorEastAsia" w:eastAsiaTheme="minorEastAsia" w:cstheme="minorEastAsia"/>
          <w:color w:val="auto"/>
          <w:sz w:val="24"/>
          <w:lang w:val="en-US" w:eastAsia="zh-CN"/>
        </w:rPr>
        <w:t xml:space="preserve">卖方需提交的支付文件包括：</w:t>
      </w:r>
      <w:r/>
    </w:p>
    <w:p>
      <w:pPr>
        <w:ind w:firstLine="480"/>
        <w:spacing w:line="360" w:lineRule="auto"/>
        <w:rPr>
          <w:rFonts w:hint="eastAsia" w:asciiTheme="minorEastAsia" w:hAnsiTheme="minorEastAsia" w:eastAsiaTheme="minorEastAsia" w:cstheme="minorEastAsia"/>
          <w:color w:val="auto"/>
          <w:sz w:val="24"/>
          <w:lang w:val="en-US" w:eastAsia="zh-CN"/>
        </w:rPr>
      </w:pPr>
      <w:r>
        <w:rPr>
          <w:rFonts w:hint="eastAsia" w:asciiTheme="minorEastAsia" w:hAnsiTheme="minorEastAsia" w:eastAsiaTheme="minorEastAsia" w:cstheme="minorEastAsia"/>
          <w:color w:val="auto"/>
          <w:sz w:val="24"/>
          <w:lang w:val="en-US" w:eastAsia="zh-CN"/>
        </w:rPr>
        <w:t xml:space="preserve">卖方出具的全额正式发票；</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lang w:val="en-US" w:eastAsia="zh-CN"/>
        </w:rPr>
        <w:t xml:space="preserve">3</w:t>
      </w:r>
      <w:r>
        <w:rPr>
          <w:rFonts w:hint="eastAsia" w:asciiTheme="minorEastAsia" w:hAnsiTheme="minorEastAsia" w:eastAsiaTheme="minorEastAsia" w:cstheme="minorEastAsia"/>
          <w:color w:val="auto"/>
          <w:sz w:val="24"/>
        </w:rPr>
        <w:t xml:space="preserve">.如本项目12座桥梁在合同履约阶段进行改造或拆除等特殊情况，则招标人对该桥梁当年或后续监测服务费进行扣除。如有重大、复杂调整、变更，应履行相关手续或双方协商补充协议。具体由中标单位和采购人会同相关部门办理相关手续确定扣除该桥梁的监测服务工作量和费用。</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合同费用包含产品价、税金、运费、安装调试、检测（检验）、保险、培训、售后服务、运行、竣工验收（含验收小组成员中专业技术人员费用）、利润等为完成项目所需的全部费用。</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四、履约担保</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承包人是否提供履约担保：提供，签订合同前缴纳。</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履约保证金的形式：以支票、汇票、本票或者金融机构、担保机构出具的保函等非现金形式提交。 </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履约保证金的金额：中标金额的3%。</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履约保证金的返还：待工程竣工验收合格且3年缺陷责任期满无质量问题后30日历天内无息退还。如果承包人不履行合同约定的义务，未能完全履行合同规定的义务或其履行不符合合同的约定，发包人有权扣除履约保证金取得补偿。</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五、甲乙双方责任</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1.采购人责任：</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1.1提供相关技术资料及图纸。</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1.2对服务期、质量、人员、设备、仪器进行监督检查，对不符合技术要求的工作，有权要求中标人自费进行返工。</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1.3根据中标人实际服务质量及进度，进行计量与支付合同款。</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1.4组织对服务成果的审查和验收，并享有成果权，其他任何单位、个人不能以该项目发表学术、科研等报告。</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1.5在约定的时间内就中标人书面提交并要求做出决定的事宜做出书面决定。</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1.6有权对中标人的项目负责人和技术负责人进行考核，对于不称职或严重失职的人员，采购人有权要求限期更换。</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1.7有权否定任何在本项目中投入的人员做出损害甲方利益的决定和行为，并有权向中标人索赔和追究法律责任。</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1.8如中标人随意更换管理人员，或不能有效地履行监测职责，或严重违反国家有关法规与各项制度，采购人有权对其进行处罚，直至解除合同，并追究中标人由此造成的一切损失。</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2.中标人责任：</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2.1按期完成服务工作。</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按照国家现行的标准、规范、规程，以及技术要求进行监测服务，按规定的进度交付成果资料，提供优质、高效、全面的监测工作。</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2.2接受采购人对服务工期、质量、人员组成、设备、仪器等的监督和管理。</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2.3对自身的人员、设施及施工现场的安全负责，保持环境卫生。中标人应加强内部管理，明确人员职责。应建立内部奖惩制度、建立完整的质保体系、建立项目负责人制度。在合同履行期间因危险作业或未按规范要求进行高空作业或其他情形造成任何安全事故的，由中标人自行承担。</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2.4中标人监测期间有异常情况须及时提交应急监测报告，有重大或特殊事件时按照采购人要求及时提交相应的监测报告。</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2.5中标人对采购人的资料和监测数据负有保密义务。未经采购人允许，不得向任何第三方提供或披露，如有违反，应当承担相应的法律责任。本条款在项目完成或无论何种原因导致合同终止后依然有效。</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2.6负责协调和处理在服务期间外界可能对本项目产生的各种干扰，及本项目对外界可能产生的必需的不可避免的干扰。</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2.7单独承担合同义务，不得分包、转包给第三方。因分包、转包出现任何问题由乙方承担，甲方有权解除合同并要求乙方赔偿全部损失。</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2.8保证提供真实可靠的成果资料，违反规定作假者，每次扣减合同总价5%，若乙方不改正次数达到2次或扣减费用达到合同总价的20%时，采购人有权解除合同，并要求中标人赔偿全部损失。</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2.9中标人在履行本合同的义务期间，应运用合理的技能，为采购人提供满足相关规范及合同约定的监测及相关报表和报告。</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2.10对监测服务过程中人员的人身安全和仪器、设备等所有设施安全负全部责任。中标人保证所有工作人员具有相应资质。合同履行过程中，中标人必须保障所有工作人员的安全，如有意外造成工作人员或其他人员人身和财产损失的，中标人负责处理并承担相应的赔偿责任，采购人不承担任何责任。</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2.11保险：中标人必须按招标文件和国家有关规定办理各种保险。一旦发生上述保险范围内的事件，责任和损失均由中标人自行承担。</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六、违约责任</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1.乙方不得将本合同或本合同所约定的权利和义务转包或分包给第三方或者转委托给第三人，否则甲方有权解除本合同且不需向乙方支付任何费用，已经支付的，乙方应当予以返还，同时乙方应按照合同总金额的30%承担违约责任，给甲方造成的损失超过违约金的，乙方应赔偿全部损失并向甲方支付同等比例的违约金。</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2.甲方一旦发现本项目存在借用资质承包的情况，甲方有权立即解除合同，并有权向乙方追回已支付的全部服务费，同时乙方应按照合同总金额的30%承担违约责任，给甲方造成的损失超过违约金的，乙方应赔偿全部损失并向甲方支付同等比例的违约金。</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3.乙方未能按期提交报告的（甲方同意延长期限的除外），则每延期一天按合同价款的千分之二向甲方支付违约金。</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4.乙方应全面准确的检测发现存在的各类隐患情况，因乙方原因隐患未检出、检测的病害类型、危险程度、病害位置等信息存在较大偏差或在质保期未履行复测、观测、监测责任，影响道路安全的，乙方应负全部责任（包含赔偿损失、法律相关的责任等），按合同价款 20% 向甲方支付违约金。</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5.乙方不遵守安全生产管理制度的，给予10万元以下罚款/每次。</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6.对乙方在项目实施过程中发生安全事故的，向甲方支付合同总价款10%的违约金，造成损失的赔偿损失，甲方有权单方面取消或终止合同。</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7.对乙方在实施过程中拖延工期、不按计划进度施工的，向甲方支付不超过合同总价款10%的违约金。</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8.因乙方未尽监测职责致使甲方遭受损失，或者致使甲方遭遇第三方索赔的，中标人应当负责处理并承担赔偿责任。当中标人的累计赔偿达到合同金额的20％时，甲方有权解除合同，并要求中标人赔偿全部损失。</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9.因一方违约造成第三方损失的，违约方在赔偿守约方损失的基础上仍需再赔偿第三方损失。</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10.合同履行期间发生争议的，可以和解或者要求有关主管部门调解。一方不愿和解、调解或者和解、调解不成的，双方约定向甲方所在地仲裁委员会申请仲裁。在调解和仲裁过程中，双方应保证服务期间监测工作正常进行。</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11.对工程项目质量不达标，使用材料、材质价款与设计不符，违规变更施工设计，隐蔽工程隐蔽覆盖前未按程序及标准验收的，由乙方支付不超过合同总额20%的违约金(一般情况下)，甲方有权单方面取消或终止合同。</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12.—旦发生违约，所有违约金、赔偿金在乙方合同款中扣除。</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七、人员组织</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1.中标人监测人员的组合应合理，至少应包括项目负责人、技术负责人等专业人员。具体人员安排计划应满足项目需要，并经采购人同意。必要时由采购人指定到现场人员。应保质保量完成各项服务。</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2.在服务实施中，中标人必须根据具体情况适时调整人员配置，以满足服务需要，其调整方案须经采购人的同意。采购人有权要求中标人进行调整。人员调整不改变本项目的总价。</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3.根据采购人要求，中标人应配备足够的专职工作人员，并有专人负责。合同期内原则上不得更换项目负责人、技术负责人，如确需更换须经采购人同意，新更换的人员资质等级不得低于原项目负责人、技术负责人。</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4.要求至少2人驻点（徐州市市政管理中心）负责硬件巡检、故障处置、协助预警等运维工作。</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八、不可抗力</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因不可抗力(或采购人、中标人不能控制的原因)不能履行本合同的，根据不可抗力的影响，部分或者全部免除责任。但一方迟延履行后发生不可抗力的，不能免除责任。</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一方因不可抗力不能履行本合同的，应当在遭受不可抗力发生后15日内通知对方，以减轻可能给对方造成的损失，并应当在合理期限内提供证明。</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不可抗力的发生是否符合免责条件的认定必须有甲乙双方书面确认。</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九、保密及版权</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1.未经委托人同意，试验监测人不得泄露委托人与本项目、本工程、本监测合同有关的保密资料。</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2.版权：委托人就本项目试验监测而向试验监测人提供的成果为委托人所拥有。试验监测人因受委托人委托进行的本项目试验监测而产生的成果均为双方共同享有，其中任何一方向第三方转让时须经另一方同意，但若委托人因推行本项目的需要向第三方透露监测成果，则无须经过试验监测人的同意。</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3.本项目采购的设备产品最终所有权归招标人所有。</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十、其他条款：</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1. 委托人根据试验监测人有关针对本项目的质量和安全等重大问题的请示及时予以决定。委托人对上述请示给予书面答复的期限，自收到书面请示之日起最长不超过2 日 ；</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2. 在合同执行期间，由于价格上涨、政策性调整等因素对项目成本的影响，业主对合同价格不予调整 。</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3.中标单位在质保期内必须保证设备处于完好状态。</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4.本项目验收要求按照《江苏省政府采购履约验收管理办法》执行。对履约验收发生的检测（检验）费、验收小组成员中的专业技术人员费用等支出，均由乙方承担，执行标准参照江苏省政府采购专家评审费，甲方不再支付其它任何费用。</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十一、本合同由下列文件共同构成：</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1.本合同书；</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2.中标通知书；</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3.采购人的招标文件及其补充（答疑）资料；</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4.中标单位的投标文件及其补充（澄清）资料。</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十二、本合同未尽事宜，由甲、乙双方依据招标文件、中标单位的投标文件另行协商解决。</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十三、本合同一式六份，甲方三份，乙方三份，双方签字盖章后生效。</w:t>
      </w:r>
      <w:r/>
    </w:p>
    <w:p>
      <w:pPr>
        <w:pStyle w:val="856"/>
        <w:rPr>
          <w:color w:val="auto"/>
        </w:rPr>
      </w:pPr>
      <w:r>
        <w:rPr>
          <w:color w:val="auto"/>
        </w:rPr>
      </w:r>
      <w:r/>
    </w:p>
    <w:p>
      <w:pPr>
        <w:rPr>
          <w:color w:val="auto"/>
        </w:rPr>
      </w:pPr>
      <w:r>
        <w:rPr>
          <w:color w:val="auto"/>
        </w:rPr>
      </w:r>
      <w:r/>
    </w:p>
    <w:p>
      <w:pPr>
        <w:pStyle w:val="856"/>
        <w:rPr>
          <w:color w:val="auto"/>
        </w:rPr>
      </w:pPr>
      <w:r>
        <w:rPr>
          <w:color w:val="auto"/>
        </w:rPr>
      </w:r>
      <w:r/>
    </w:p>
    <w:p>
      <w:pPr>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甲方（盖章）　　　　　　　       　           乙方（盖章）</w:t>
      </w:r>
      <w:r/>
    </w:p>
    <w:p>
      <w:pPr>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地址：                                        地址：</w:t>
      </w:r>
      <w:r/>
    </w:p>
    <w:p>
      <w:pPr>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法定代表人（签字或盖章）：                    法定代表人（签字或盖章）：</w:t>
      </w:r>
      <w:r/>
    </w:p>
    <w:p>
      <w:pPr>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委托代理人（签字或盖章）：                    委托代理人（签字或盖章）：</w:t>
      </w:r>
      <w:r/>
    </w:p>
    <w:p>
      <w:pPr>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开户行：                                      开户行：</w:t>
      </w:r>
      <w:r/>
    </w:p>
    <w:p>
      <w:pPr>
        <w:pStyle w:val="856"/>
        <w:ind w:left="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账号：                                        账号：</w:t>
      </w:r>
      <w:r/>
    </w:p>
    <w:p>
      <w:pPr>
        <w:rPr>
          <w:color w:val="auto"/>
        </w:rPr>
      </w:pPr>
      <w:r>
        <w:rPr>
          <w:rFonts w:hint="eastAsia" w:asciiTheme="minorEastAsia" w:hAnsiTheme="minorEastAsia" w:eastAsiaTheme="minorEastAsia" w:cstheme="minorEastAsia"/>
          <w:color w:val="auto"/>
          <w:sz w:val="24"/>
        </w:rPr>
        <w:t xml:space="preserve">日期：   年  月  日                           日期：   年   月  日</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　     </w:t>
      </w:r>
      <w:r>
        <w:rPr>
          <w:rFonts w:hint="eastAsia" w:asciiTheme="minorEastAsia" w:hAnsiTheme="minorEastAsia" w:eastAsiaTheme="minorEastAsia" w:cstheme="minorEastAsia"/>
          <w:color w:val="auto"/>
          <w:sz w:val="24"/>
        </w:rPr>
        <w:tab/>
      </w:r>
      <w:r>
        <w:rPr>
          <w:rFonts w:hint="eastAsia" w:asciiTheme="minorEastAsia" w:hAnsiTheme="minorEastAsia" w:eastAsiaTheme="minorEastAsia" w:cstheme="minorEastAsia"/>
          <w:color w:val="auto"/>
          <w:sz w:val="24"/>
        </w:rPr>
        <w:t xml:space="preserve">　　</w:t>
      </w:r>
      <w:r/>
    </w:p>
    <w:p>
      <w:pPr>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pStyle w:val="856"/>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numPr>
          <w:ilvl w:val="0"/>
          <w:numId w:val="1"/>
        </w:numPr>
        <w:jc w:val="center"/>
        <w:spacing w:line="360" w:lineRule="auto"/>
        <w:rPr>
          <w:rFonts w:hint="eastAsia" w:asciiTheme="minorEastAsia" w:hAnsiTheme="minorEastAsia" w:eastAsiaTheme="minorEastAsia" w:cstheme="minorEastAsia"/>
          <w:b/>
          <w:bCs/>
          <w:color w:val="auto"/>
          <w:sz w:val="32"/>
          <w:szCs w:val="32"/>
        </w:rPr>
        <w:outlineLvl w:val="0"/>
      </w:pPr>
      <w:r>
        <w:rPr>
          <w:rFonts w:hint="eastAsia" w:asciiTheme="minorEastAsia" w:hAnsiTheme="minorEastAsia" w:eastAsiaTheme="minorEastAsia" w:cstheme="minorEastAsia"/>
          <w:b/>
          <w:bCs/>
          <w:color w:val="auto"/>
          <w:sz w:val="32"/>
          <w:szCs w:val="32"/>
        </w:rPr>
        <w:t xml:space="preserve"> </w:t>
      </w:r>
      <w:bookmarkStart w:id="12" w:name="_Toc6710"/>
      <w:r/>
      <w:bookmarkStart w:id="13" w:name="_Toc28952"/>
      <w:r>
        <w:rPr>
          <w:rFonts w:hint="eastAsia" w:asciiTheme="minorEastAsia" w:hAnsiTheme="minorEastAsia" w:eastAsiaTheme="minorEastAsia" w:cstheme="minorEastAsia"/>
          <w:b/>
          <w:bCs/>
          <w:color w:val="auto"/>
          <w:sz w:val="32"/>
          <w:szCs w:val="32"/>
        </w:rPr>
        <w:t xml:space="preserve">投标文件相关格式</w:t>
      </w:r>
      <w:bookmarkEnd w:id="12"/>
      <w:r/>
      <w:bookmarkEnd w:id="13"/>
      <w:r/>
      <w:r/>
    </w:p>
    <w:p>
      <w:pPr>
        <w:jc w:val="center"/>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1、投标函格式</w:t>
      </w:r>
      <w:r/>
    </w:p>
    <w:p>
      <w:pPr>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致： </w:t>
      </w:r>
      <w:r/>
    </w:p>
    <w:p>
      <w:pPr>
        <w:ind w:firstLine="480"/>
        <w:jc w:val="left"/>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根据</w:t>
      </w:r>
      <w:r>
        <w:rPr>
          <w:rFonts w:hint="eastAsia" w:asciiTheme="minorEastAsia" w:hAnsiTheme="minorEastAsia" w:eastAsiaTheme="minorEastAsia" w:cstheme="minorEastAsia"/>
          <w:color w:val="auto"/>
          <w:sz w:val="24"/>
          <w:u w:val="single"/>
        </w:rPr>
        <w:t xml:space="preserve">          </w:t>
      </w:r>
      <w:r>
        <w:rPr>
          <w:rFonts w:hint="eastAsia" w:asciiTheme="minorEastAsia" w:hAnsiTheme="minorEastAsia" w:eastAsiaTheme="minorEastAsia" w:cstheme="minorEastAsia"/>
          <w:color w:val="auto"/>
          <w:sz w:val="24"/>
        </w:rPr>
        <w:t xml:space="preserve">项目[项目编号：JSZC-320300-ZCGL-G2025-0016招标文件，</w:t>
      </w:r>
      <w:r>
        <w:rPr>
          <w:rFonts w:hint="eastAsia" w:asciiTheme="minorEastAsia" w:hAnsiTheme="minorEastAsia" w:eastAsiaTheme="minorEastAsia" w:cstheme="minorEastAsia"/>
          <w:color w:val="auto"/>
          <w:sz w:val="24"/>
          <w:u w:val="single"/>
        </w:rPr>
        <w:t xml:space="preserve">          (姓名)</w:t>
      </w:r>
      <w:r>
        <w:rPr>
          <w:rFonts w:hint="eastAsia" w:asciiTheme="minorEastAsia" w:hAnsiTheme="minorEastAsia" w:eastAsiaTheme="minorEastAsia" w:cstheme="minorEastAsia"/>
          <w:color w:val="auto"/>
          <w:sz w:val="24"/>
        </w:rPr>
        <w:t xml:space="preserve">代表我方           </w:t>
      </w:r>
      <w:r>
        <w:rPr>
          <w:rFonts w:hint="eastAsia" w:asciiTheme="minorEastAsia" w:hAnsiTheme="minorEastAsia" w:eastAsiaTheme="minorEastAsia" w:cstheme="minorEastAsia"/>
          <w:color w:val="auto"/>
          <w:sz w:val="24"/>
          <w:u w:val="single"/>
        </w:rPr>
        <w:t xml:space="preserve">（供应商的名称）</w:t>
      </w:r>
      <w:r>
        <w:rPr>
          <w:rFonts w:hint="eastAsia" w:asciiTheme="minorEastAsia" w:hAnsiTheme="minorEastAsia" w:eastAsiaTheme="minorEastAsia" w:cstheme="minorEastAsia"/>
          <w:color w:val="auto"/>
          <w:sz w:val="24"/>
        </w:rPr>
        <w:t xml:space="preserve">全权处理本次投标的有关事宜。</w:t>
      </w:r>
      <w:r/>
    </w:p>
    <w:p>
      <w:pPr>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据此函，供应商承诺并同意如下： </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1. 供应商唯一投标报价见《开标一览表》。</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2. 供应商将按招标文件的规定履行合同责任和义务。</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3. 供应商已详细审查全部招标文件，包括第[插入编号] [补遗书][如果有的话]。供应商完全理解并同意放弃对这方面有不明及误解的权力。</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4. 投标有效期为开标之日后90天。</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5. 供应商在投标初始有效期内撤回投标，其投标保证金将不退还。</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6. 供应商同意提供按照贵方可能要求的与其投标有关的一切数据或资料，完全理解贵方不一定接受最低价的投标或收到的任何投标。</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7. 供应商同意在授予合同后，按照有关规定支付公证费。</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8. 江苏执策建设管理有限公司有权将我单位本项目的《开标一览表》和《分项价格表》予以公示，公示的方式由江苏执策建设管理有限公司确定。</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9. 采购人有权对供应商投标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10. 与本投标有关的一切正式往来信函请寄：</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地址： </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电话： </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传真： </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供应商：           （盖单位公章）</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供应商授权代表：           （签字或盖章）  </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日期：   年  月  日</w:t>
      </w:r>
      <w:r/>
    </w:p>
    <w:p>
      <w:pP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pStyle w:val="856"/>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pStyle w:val="856"/>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pStyle w:val="856"/>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2.开标一览表格式</w:t>
      </w:r>
      <w:r/>
    </w:p>
    <w:p>
      <w:pPr>
        <w:pStyle w:val="856"/>
        <w:ind w:left="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pStyle w:val="856"/>
        <w:ind w:left="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项目名称： </w:t>
      </w:r>
      <w:r/>
    </w:p>
    <w:p>
      <w:pPr>
        <w:jc w:val="left"/>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项目编号：JSZC-320300-ZCGL-G2025-0016                                                货币单位：人民币元</w:t>
      </w:r>
      <w:r>
        <w:rPr>
          <w:rFonts w:hint="eastAsia" w:asciiTheme="minorEastAsia" w:hAnsiTheme="minorEastAsia" w:eastAsiaTheme="minorEastAsia" w:cstheme="minorEastAsia"/>
          <w:color w:val="auto"/>
          <w:sz w:val="24"/>
        </w:rPr>
        <w:tab/>
      </w:r>
      <w:r/>
    </w:p>
    <w:tbl>
      <w:tblPr>
        <w:tblStyle w:val="86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462"/>
        <w:gridCol w:w="4062"/>
        <w:gridCol w:w="3225"/>
      </w:tblGrid>
      <w:tr>
        <w:trPr>
          <w:trHeight w:val="1134"/>
        </w:trPr>
        <w:tc>
          <w:tcPr>
            <w:tcW w:w="246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项目名称</w:t>
            </w:r>
            <w:r/>
          </w:p>
        </w:tc>
        <w:tc>
          <w:tcPr>
            <w:tcW w:w="406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项目内容</w:t>
            </w:r>
            <w:r/>
          </w:p>
        </w:tc>
        <w:tc>
          <w:tcPr>
            <w:tcW w:w="3225"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总价（小写）</w:t>
            </w:r>
            <w:r/>
          </w:p>
        </w:tc>
      </w:tr>
      <w:tr>
        <w:trPr>
          <w:trHeight w:val="1134"/>
        </w:trPr>
        <w:tc>
          <w:tcPr>
            <w:tcW w:w="246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406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3225"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r>
      <w:tr>
        <w:trPr>
          <w:trHeight w:val="1134"/>
        </w:trPr>
        <w:tc>
          <w:tcPr>
            <w:tcW w:w="246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总价（大写）</w:t>
            </w:r>
            <w:r/>
          </w:p>
        </w:tc>
        <w:tc>
          <w:tcPr>
            <w:tcW w:w="406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3225"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r>
    </w:tbl>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jc w:val="center"/>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            供应商：           （公章）</w:t>
      </w:r>
      <w:r/>
    </w:p>
    <w:p>
      <w:pPr>
        <w:jc w:val="center"/>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                       供应商授权代表：            （签字或盖章）</w:t>
      </w:r>
      <w:r/>
    </w:p>
    <w:p>
      <w:pPr>
        <w:jc w:val="center"/>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日期：   年  月  日</w:t>
      </w:r>
      <w:r/>
    </w:p>
    <w:p>
      <w:pPr>
        <w:pStyle w:val="856"/>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pStyle w:val="856"/>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pStyle w:val="856"/>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pStyle w:val="856"/>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pStyle w:val="856"/>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pStyle w:val="856"/>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pStyle w:val="856"/>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pStyle w:val="856"/>
        <w:ind w:left="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pStyle w:val="856"/>
        <w:ind w:left="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pStyle w:val="856"/>
        <w:ind w:left="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pStyle w:val="856"/>
        <w:ind w:left="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pStyle w:val="856"/>
        <w:ind w:left="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pStyle w:val="856"/>
        <w:ind w:left="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pStyle w:val="856"/>
        <w:ind w:left="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pStyle w:val="856"/>
        <w:ind w:left="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pStyle w:val="856"/>
        <w:ind w:left="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ind w:firstLine="480"/>
        <w:jc w:val="center"/>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3.分项价格表</w:t>
      </w:r>
      <w:r/>
    </w:p>
    <w:p>
      <w:pPr>
        <w:pStyle w:val="856"/>
        <w:ind w:left="0" w:firstLine="420"/>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项目名称： </w:t>
      </w:r>
      <w:r/>
    </w:p>
    <w:p>
      <w:pPr>
        <w:pStyle w:val="856"/>
        <w:ind w:left="0" w:firstLine="420"/>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项目编号：JSZC-320300-ZCGL-G2025-0016  </w:t>
      </w:r>
      <w:r/>
    </w:p>
    <w:p>
      <w:pPr>
        <w:pStyle w:val="856"/>
        <w:ind w:left="0" w:firstLine="420"/>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货币单位：人民币元</w:t>
      </w:r>
      <w:r/>
    </w:p>
    <w:p>
      <w:pPr>
        <w:pStyle w:val="856"/>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r>
      <w:r/>
    </w:p>
    <w:p>
      <w:pPr>
        <w:pStyle w:val="856"/>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r>
      <w:r/>
    </w:p>
    <w:p>
      <w:pPr>
        <w:ind w:firstLine="420"/>
        <w:jc w:val="center"/>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格式自拟</w:t>
      </w:r>
      <w:r/>
    </w:p>
    <w:p>
      <w:pPr>
        <w:pStyle w:val="856"/>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r>
      <w:r/>
    </w:p>
    <w:p>
      <w:pPr>
        <w:pStyle w:val="856"/>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r>
      <w:r/>
    </w:p>
    <w:p>
      <w:pPr>
        <w:pStyle w:val="856"/>
        <w:ind w:left="0" w:firstLine="420"/>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投标人：（电子签章）</w:t>
      </w:r>
      <w:r/>
    </w:p>
    <w:p>
      <w:pPr>
        <w:pStyle w:val="856"/>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r>
      <w:r/>
    </w:p>
    <w:p>
      <w:pPr>
        <w:pStyle w:val="856"/>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r>
      <w:r/>
    </w:p>
    <w:p>
      <w:pPr>
        <w:pStyle w:val="856"/>
        <w:ind w:left="0" w:firstLine="420"/>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日期：   年  月  日</w:t>
      </w:r>
      <w:r/>
    </w:p>
    <w:p>
      <w:pPr>
        <w:pStyle w:val="856"/>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r>
      <w:r/>
    </w:p>
    <w:p>
      <w:pPr>
        <w:pStyle w:val="856"/>
        <w:ind w:left="0" w:firstLine="420"/>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本款说明：</w:t>
      </w:r>
      <w:r/>
    </w:p>
    <w:p>
      <w:pPr>
        <w:ind w:firstLine="420"/>
        <w:spacing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ind w:firstLine="420"/>
        <w:spacing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2.享受政府采购支持政策的残疾人福利性单位应满足的条件以《关于促进残疾人就业政府采购政策的通知》（财库〔2017〕141号）的规定为准。</w:t>
      </w:r>
      <w:r/>
    </w:p>
    <w:p>
      <w:pPr>
        <w:pStyle w:val="856"/>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r>
      <w:r/>
    </w:p>
    <w:p>
      <w:pPr>
        <w:ind w:firstLine="420"/>
        <w:spacing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注：</w:t>
      </w:r>
      <w:r/>
    </w:p>
    <w:p>
      <w:pPr>
        <w:ind w:firstLine="420"/>
        <w:spacing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①如果不提供详细分项报价的，将视为没有实质性响应招标文件。</w:t>
      </w:r>
      <w:r/>
    </w:p>
    <w:p>
      <w:pPr>
        <w:ind w:firstLine="420"/>
        <w:spacing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②投标人对以上数据的真实性负责。</w:t>
      </w:r>
      <w:r/>
    </w:p>
    <w:p>
      <w:pPr>
        <w:ind w:firstLine="420"/>
        <w:spacing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江苏执策建设管理有限公司有权将以上内容进行公示。</w:t>
      </w:r>
      <w:r/>
    </w:p>
    <w:p>
      <w:pP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pStyle w:val="856"/>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pStyle w:val="856"/>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pStyle w:val="856"/>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pStyle w:val="856"/>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ind w:firstLine="480"/>
        <w:jc w:val="center"/>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4.偏离表</w:t>
      </w:r>
      <w:r/>
    </w:p>
    <w:p>
      <w:pPr>
        <w:pStyle w:val="856"/>
        <w:ind w:left="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pStyle w:val="856"/>
        <w:ind w:left="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项目名称：</w:t>
      </w:r>
      <w:r/>
    </w:p>
    <w:p>
      <w:pPr>
        <w:pStyle w:val="856"/>
        <w:ind w:left="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项目编号：JSZC-320300-ZCGL-G2025-0016</w:t>
      </w:r>
      <w:r/>
    </w:p>
    <w:tbl>
      <w:tblPr>
        <w:tblStyle w:val="86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42"/>
        <w:gridCol w:w="1642"/>
        <w:gridCol w:w="1642"/>
        <w:gridCol w:w="1642"/>
        <w:gridCol w:w="1643"/>
        <w:gridCol w:w="1643"/>
      </w:tblGrid>
      <w:tr>
        <w:trPr/>
        <w:tc>
          <w:tcPr>
            <w:tcW w:w="164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序号</w:t>
            </w:r>
            <w:r/>
          </w:p>
        </w:tc>
        <w:tc>
          <w:tcPr>
            <w:tcW w:w="164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偏离内容</w:t>
            </w:r>
            <w:r/>
          </w:p>
        </w:tc>
        <w:tc>
          <w:tcPr>
            <w:tcW w:w="164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招标文件的要求</w:t>
            </w:r>
            <w:r/>
          </w:p>
        </w:tc>
        <w:tc>
          <w:tcPr>
            <w:tcW w:w="164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投标文件中的内容</w:t>
            </w:r>
            <w:r/>
          </w:p>
        </w:tc>
        <w:tc>
          <w:tcPr>
            <w:tcW w:w="1643"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（正/负/无）偏离</w:t>
            </w:r>
            <w:r/>
          </w:p>
        </w:tc>
        <w:tc>
          <w:tcPr>
            <w:tcW w:w="1643"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说明</w:t>
            </w:r>
            <w:r/>
          </w:p>
        </w:tc>
      </w:tr>
      <w:tr>
        <w:trPr>
          <w:trHeight w:val="567"/>
        </w:trPr>
        <w:tc>
          <w:tcPr>
            <w:tcW w:w="164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3"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3"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r>
      <w:tr>
        <w:trPr>
          <w:trHeight w:val="567"/>
        </w:trPr>
        <w:tc>
          <w:tcPr>
            <w:tcW w:w="164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3"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3"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r>
      <w:tr>
        <w:trPr>
          <w:trHeight w:val="567"/>
        </w:trPr>
        <w:tc>
          <w:tcPr>
            <w:tcW w:w="164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3"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3"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r>
      <w:tr>
        <w:trPr>
          <w:trHeight w:val="567"/>
        </w:trPr>
        <w:tc>
          <w:tcPr>
            <w:tcW w:w="164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3"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3"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r>
      <w:tr>
        <w:trPr>
          <w:trHeight w:val="567"/>
        </w:trPr>
        <w:tc>
          <w:tcPr>
            <w:tcW w:w="164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3"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3"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r>
      <w:tr>
        <w:trPr>
          <w:trHeight w:val="567"/>
        </w:trPr>
        <w:tc>
          <w:tcPr>
            <w:tcW w:w="164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3"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3"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r>
      <w:tr>
        <w:trPr>
          <w:trHeight w:val="567"/>
        </w:trPr>
        <w:tc>
          <w:tcPr>
            <w:tcW w:w="164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3"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3"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r>
      <w:tr>
        <w:trPr>
          <w:trHeight w:val="567"/>
        </w:trPr>
        <w:tc>
          <w:tcPr>
            <w:tcW w:w="164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3"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3"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r>
      <w:tr>
        <w:trPr>
          <w:trHeight w:val="567"/>
        </w:trPr>
        <w:tc>
          <w:tcPr>
            <w:tcW w:w="164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3"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3"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r>
      <w:tr>
        <w:trPr>
          <w:trHeight w:val="567"/>
        </w:trPr>
        <w:tc>
          <w:tcPr>
            <w:tcW w:w="164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3"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3"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r>
      <w:tr>
        <w:trPr>
          <w:trHeight w:val="567"/>
        </w:trPr>
        <w:tc>
          <w:tcPr>
            <w:tcW w:w="164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3"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3"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r>
      <w:tr>
        <w:trPr>
          <w:trHeight w:val="567"/>
        </w:trPr>
        <w:tc>
          <w:tcPr>
            <w:tcW w:w="164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3"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3"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r>
      <w:tr>
        <w:trPr>
          <w:trHeight w:val="567"/>
        </w:trPr>
        <w:tc>
          <w:tcPr>
            <w:tcW w:w="164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3"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3"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r>
      <w:tr>
        <w:trPr>
          <w:trHeight w:val="567"/>
        </w:trPr>
        <w:tc>
          <w:tcPr>
            <w:tcW w:w="164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3"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3"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r>
      <w:tr>
        <w:trPr>
          <w:trHeight w:val="567"/>
        </w:trPr>
        <w:tc>
          <w:tcPr>
            <w:tcW w:w="164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3"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3"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r>
      <w:tr>
        <w:trPr>
          <w:trHeight w:val="567"/>
        </w:trPr>
        <w:tc>
          <w:tcPr>
            <w:tcW w:w="164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3"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3"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r>
      <w:tr>
        <w:trPr>
          <w:trHeight w:val="567"/>
        </w:trPr>
        <w:tc>
          <w:tcPr>
            <w:tcW w:w="164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2"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3"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W w:w="1643"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r>
    </w:tbl>
    <w:p>
      <w:pP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注：供应商的投标文件中的内容与招标文件（含招标文件的澄清或者修改的内容）的要求不同时，逐条列在偏离表中，否则将认为供应商接受招标文件的要求。</w:t>
      </w:r>
      <w:r/>
    </w:p>
    <w:p>
      <w:pP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ind w:firstLine="48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供应商：          （公章）</w:t>
      </w:r>
      <w:r/>
    </w:p>
    <w:p>
      <w:pPr>
        <w:ind w:firstLine="48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供应商授权代表：   （签字或盖章）</w:t>
      </w:r>
      <w:r/>
    </w:p>
    <w:p>
      <w:pPr>
        <w:ind w:firstLine="48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日期：  年  月  日</w:t>
      </w:r>
      <w:r/>
    </w:p>
    <w:p>
      <w:pPr>
        <w:pStyle w:val="856"/>
        <w:ind w:left="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5.法人授权委托书</w:t>
      </w:r>
      <w:r/>
    </w:p>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jc w:val="left"/>
        <w:spacing w:line="360" w:lineRule="auto"/>
        <w:rPr>
          <w:rFonts w:hint="eastAsia" w:asciiTheme="minorEastAsia" w:hAnsiTheme="minorEastAsia" w:eastAsiaTheme="minorEastAsia" w:cstheme="minorEastAsia"/>
          <w:color w:val="auto"/>
          <w:sz w:val="24"/>
          <w:u w:val="single"/>
        </w:rPr>
      </w:pPr>
      <w:r>
        <w:rPr>
          <w:rFonts w:hint="eastAsia" w:asciiTheme="minorEastAsia" w:hAnsiTheme="minorEastAsia" w:eastAsiaTheme="minorEastAsia" w:cstheme="minorEastAsia"/>
          <w:color w:val="auto"/>
          <w:sz w:val="24"/>
        </w:rPr>
        <w:t xml:space="preserve">委托人：</w:t>
      </w:r>
      <w:r/>
    </w:p>
    <w:p>
      <w:pPr>
        <w:jc w:val="left"/>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地  址：</w:t>
      </w:r>
      <w:r/>
    </w:p>
    <w:p>
      <w:pPr>
        <w:jc w:val="left"/>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法定代表人（负责人）：               职务：</w:t>
      </w:r>
      <w:r/>
    </w:p>
    <w:p>
      <w:pPr>
        <w:jc w:val="left"/>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统一社会信用代码：</w:t>
      </w:r>
      <w:r/>
    </w:p>
    <w:p>
      <w:pPr>
        <w:jc w:val="left"/>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受托人：                   性别：男（女）  </w:t>
      </w:r>
      <w:r/>
    </w:p>
    <w:p>
      <w:pPr>
        <w:jc w:val="left"/>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年龄：  岁                 民族：   族</w:t>
      </w:r>
      <w:r/>
    </w:p>
    <w:p>
      <w:pPr>
        <w:jc w:val="left"/>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职务：</w:t>
      </w:r>
      <w:r/>
    </w:p>
    <w:p>
      <w:pPr>
        <w:jc w:val="left"/>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身份证号：</w:t>
      </w:r>
      <w:r/>
    </w:p>
    <w:p>
      <w:pPr>
        <w:ind w:firstLine="480"/>
        <w:jc w:val="left"/>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兹委托（    ）全权代表我企业（公司）参与（    ）项目（项目编号：JSZC-320300-ZCGL-G2025-0016）的招、投标活动及签订合同。（     ）以我企业（公司）名义所为的法律行为及签署的文件，我企业（公司）均予以认可。有关法律责任均由我企业（公司）承担。（    ）无转委托权。委托期限自   年  月  日起至  年  月  日止。</w:t>
      </w:r>
      <w:r/>
    </w:p>
    <w:p>
      <w:pPr>
        <w:jc w:val="left"/>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特此授权委托。</w:t>
      </w:r>
      <w:r/>
    </w:p>
    <w:p>
      <w:pPr>
        <w:jc w:val="left"/>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jc w:val="left"/>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委托人（公章）：         </w:t>
      </w:r>
      <w:r/>
    </w:p>
    <w:p>
      <w:pPr>
        <w:jc w:val="left"/>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法定代表人（签字或盖章）：</w:t>
      </w:r>
      <w:r/>
    </w:p>
    <w:p>
      <w:pPr>
        <w:jc w:val="left"/>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受托人（签字或盖章）：</w:t>
      </w:r>
      <w:r/>
    </w:p>
    <w:p>
      <w:pPr>
        <w:jc w:val="left"/>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受托人联系方式：          邮箱：</w:t>
      </w:r>
      <w:r/>
    </w:p>
    <w:p>
      <w:pPr>
        <w:jc w:val="left"/>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jc w:val="left"/>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年   月   日 </w:t>
      </w:r>
      <w:r/>
    </w:p>
    <w:p>
      <w:pPr>
        <w:jc w:val="center"/>
        <w:spacing w:line="360" w:lineRule="auto"/>
        <w:rPr>
          <w:rFonts w:hint="eastAsia" w:asciiTheme="minorEastAsia" w:hAnsiTheme="minorEastAsia" w:eastAsiaTheme="minorEastAsia" w:cstheme="minorEastAsia"/>
          <w:b/>
          <w:bCs/>
          <w:color w:val="auto"/>
          <w:sz w:val="24"/>
        </w:rPr>
      </w:pPr>
      <w:r>
        <w:rPr>
          <w:rFonts w:hint="eastAsia" w:asciiTheme="minorEastAsia" w:hAnsiTheme="minorEastAsia" w:eastAsiaTheme="minorEastAsia" w:cstheme="minorEastAsia"/>
          <w:b/>
          <w:bCs/>
          <w:color w:val="auto"/>
          <w:sz w:val="24"/>
        </w:rPr>
        <w:t xml:space="preserve">(法定代表人和受托人身份证原件复印件附后)</w:t>
      </w:r>
      <w:r/>
    </w:p>
    <w:p>
      <w:pP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pStyle w:val="856"/>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pStyle w:val="856"/>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pStyle w:val="856"/>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pStyle w:val="856"/>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pStyle w:val="856"/>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pStyle w:val="856"/>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pStyle w:val="856"/>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pStyle w:val="856"/>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6.参加政府采购活动前3年内在经营活动中没有重大违法记录的书面声明</w:t>
      </w:r>
      <w:r/>
    </w:p>
    <w:p>
      <w:pP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我单位在参加</w:t>
      </w:r>
      <w:r>
        <w:rPr>
          <w:rFonts w:hint="eastAsia" w:asciiTheme="minorEastAsia" w:hAnsiTheme="minorEastAsia" w:eastAsiaTheme="minorEastAsia" w:cstheme="minorEastAsia"/>
          <w:color w:val="auto"/>
          <w:sz w:val="24"/>
          <w:u w:val="single"/>
        </w:rPr>
        <w:t xml:space="preserve">                   </w:t>
      </w:r>
      <w:r>
        <w:rPr>
          <w:rFonts w:hint="eastAsia" w:asciiTheme="minorEastAsia" w:hAnsiTheme="minorEastAsia" w:eastAsiaTheme="minorEastAsia" w:cstheme="minorEastAsia"/>
          <w:color w:val="auto"/>
          <w:sz w:val="24"/>
        </w:rPr>
        <w:t xml:space="preserve">项目（项目编号：</w:t>
      </w:r>
      <w:r>
        <w:rPr>
          <w:rFonts w:hint="eastAsia" w:asciiTheme="minorEastAsia" w:hAnsiTheme="minorEastAsia" w:eastAsiaTheme="minorEastAsia" w:cstheme="minorEastAsia"/>
          <w:color w:val="auto"/>
          <w:sz w:val="24"/>
          <w:u w:val="single"/>
        </w:rPr>
        <w:t xml:space="preserve">JSZC-320300-ZCGL-G2025-0016</w:t>
      </w:r>
      <w:r>
        <w:rPr>
          <w:rFonts w:hint="eastAsia" w:asciiTheme="minorEastAsia" w:hAnsiTheme="minorEastAsia" w:eastAsiaTheme="minorEastAsia" w:cstheme="minorEastAsia"/>
          <w:color w:val="auto"/>
          <w:sz w:val="24"/>
        </w:rPr>
        <w:t xml:space="preserve">）政府采购活动前3年内，在经营活动中没有重大违法记录。重大违法记录是指因违法经营受到刑事处罚或者责令停产停业、吊销许可证或者执照、较大数额罚款等行政处罚。</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我单位对上述声明的真实性负责。如有虚假，将依法承担相应责任。</w:t>
      </w:r>
      <w:r/>
    </w:p>
    <w:p>
      <w:pPr>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供应商：（公章）</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供应商授权代表：（签字或盖章）</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日期：  年  月  日</w:t>
      </w:r>
      <w:r/>
    </w:p>
    <w:p>
      <w:pPr>
        <w:pStyle w:val="856"/>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pStyle w:val="856"/>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pStyle w:val="856"/>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pStyle w:val="856"/>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pStyle w:val="856"/>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pStyle w:val="856"/>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pStyle w:val="856"/>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pStyle w:val="856"/>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pStyle w:val="856"/>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pStyle w:val="856"/>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pStyle w:val="856"/>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pStyle w:val="856"/>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pStyle w:val="856"/>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pStyle w:val="856"/>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pStyle w:val="856"/>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pStyle w:val="856"/>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pStyle w:val="856"/>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pStyle w:val="856"/>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pStyle w:val="856"/>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7.中小企业声明函</w:t>
      </w:r>
      <w:r/>
    </w:p>
    <w:p>
      <w:pP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项目名称： </w:t>
      </w:r>
      <w:r/>
    </w:p>
    <w:p>
      <w:pPr>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项目编号：JSZC-320300-ZCGL-G2025-0016</w:t>
      </w:r>
      <w:r/>
    </w:p>
    <w:p>
      <w:pPr>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本公司郑重声明，根据《政府采购促进中小企业发展管理办法》（财库﹝2020﹞46 号）的规定，本公司参加（单位名称）的（项目名称）采购活动，服务全部由符合政策要求的中小企业承接。相关企业的具体情况如下：</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（标的名称），属于（采购文件中明确的所属行业）； 承建（承接）企业为（企业名称），从业人员   人，营业收入为    万元，资产总额为    万元，属于（请勾选</w:t>
      </w:r>
      <w:r>
        <w:rPr>
          <w:rFonts w:ascii="Wingdings" w:hAnsi="Wingdings" w:eastAsia="Wingdings" w:cs="Wingdings"/>
          <w:color w:val="auto"/>
          <w:sz w:val="24"/>
        </w:rPr>
        <w:t xml:space="preserve">¨</w:t>
      </w:r>
      <w:r>
        <w:rPr>
          <w:rFonts w:hint="eastAsia" w:asciiTheme="minorEastAsia" w:hAnsiTheme="minorEastAsia" w:eastAsiaTheme="minorEastAsia" w:cstheme="minorEastAsia"/>
          <w:color w:val="auto"/>
          <w:sz w:val="24"/>
        </w:rPr>
        <w:t xml:space="preserve">中型企业、</w:t>
      </w:r>
      <w:r>
        <w:rPr>
          <w:rFonts w:ascii="Wingdings" w:hAnsi="Wingdings" w:eastAsia="Wingdings" w:cs="Wingdings"/>
          <w:color w:val="auto"/>
          <w:sz w:val="24"/>
        </w:rPr>
        <w:t xml:space="preserve">¨</w:t>
      </w:r>
      <w:r>
        <w:rPr>
          <w:rFonts w:hint="eastAsia" w:asciiTheme="minorEastAsia" w:hAnsiTheme="minorEastAsia" w:eastAsiaTheme="minorEastAsia" w:cstheme="minorEastAsia"/>
          <w:color w:val="auto"/>
          <w:sz w:val="24"/>
        </w:rPr>
        <w:t xml:space="preserve">小型企业、</w:t>
      </w:r>
      <w:r>
        <w:rPr>
          <w:rFonts w:ascii="Wingdings" w:hAnsi="Wingdings" w:eastAsia="Wingdings" w:cs="Wingdings"/>
          <w:color w:val="auto"/>
          <w:sz w:val="24"/>
        </w:rPr>
        <w:t xml:space="preserve">¨</w:t>
      </w:r>
      <w:r>
        <w:rPr>
          <w:rFonts w:hint="eastAsia" w:asciiTheme="minorEastAsia" w:hAnsiTheme="minorEastAsia" w:eastAsiaTheme="minorEastAsia" w:cstheme="minorEastAsia"/>
          <w:color w:val="auto"/>
          <w:sz w:val="24"/>
        </w:rPr>
        <w:t xml:space="preserve">微型企业）；</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以上企业，不属于大企业的分支机构，不存在控股股东为大企业的情形，也不存在与大企业的负责人为同一人的情形。</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本企业对上述声明内容的真实性负责。如有虚假，将依法承担相应责任。</w:t>
      </w:r>
      <w:r/>
    </w:p>
    <w:p>
      <w:pPr>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                                    企业名称：  （公章）： </w:t>
      </w:r>
      <w:r/>
    </w:p>
    <w:p>
      <w:pPr>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                                          日  期：  年  月  日</w:t>
      </w:r>
      <w:r/>
    </w:p>
    <w:p>
      <w:pPr>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注：本项目采购的服务属于其他未列明行业。</w:t>
      </w:r>
      <w:r/>
    </w:p>
    <w:p>
      <w:pPr>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备注：</w:t>
      </w:r>
      <w:r/>
    </w:p>
    <w:p>
      <w:pPr>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1、从业人员、营业收入、资产总额填报上一年度数据，无上一年度数据的新成立企业可不填报。</w:t>
      </w:r>
      <w:r/>
    </w:p>
    <w:p>
      <w:pPr>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2、《中小企业声明函》查询渠道用微信搜索“中小企业规模类型自测小程序”。</w:t>
      </w:r>
      <w:r/>
    </w:p>
    <w:p>
      <w:pPr>
        <w:pStyle w:val="856"/>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pStyle w:val="856"/>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pStyle w:val="856"/>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pStyle w:val="856"/>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pStyle w:val="856"/>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pStyle w:val="856"/>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pStyle w:val="856"/>
        <w:ind w:left="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pStyle w:val="856"/>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mc:AlternateContent>
          <mc:Choice Requires="wpg">
            <w:drawing>
              <wp:inline xmlns:wp="http://schemas.openxmlformats.org/drawingml/2006/wordprocessingDrawing" distT="0" distB="0" distL="0" distR="0">
                <wp:extent cx="1895475" cy="3334385"/>
                <wp:effectExtent l="0" t="0" r="9525" b="18415"/>
                <wp:docPr id="2" name="图片 2" descr="C:\Users\lenovo\Documents\Tencent Files\31543131\Image\Group2\V7\C8\V7C81)]~DHY$8A5A0F}AB`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C:\Users\lenovo\Documents\Tencent Files\31543131\Image\Group2\V7\C8\V7C81)]~DHY$8A5A0F}AB`P.jpg"/>
                        <pic:cNvPicPr>
                          <a:picLocks noChangeAspect="1"/>
                        </pic:cNvPicPr>
                        <pic:nvPr/>
                      </pic:nvPicPr>
                      <pic:blipFill>
                        <a:blip r:embed="rId12"/>
                        <a:stretch/>
                      </pic:blipFill>
                      <pic:spPr bwMode="auto">
                        <a:xfrm>
                          <a:off x="0" y="0"/>
                          <a:ext cx="1895474" cy="3334385"/>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49.2pt;height:262.6pt;mso-wrap-distance-left:0.0pt;mso-wrap-distance-top:0.0pt;mso-wrap-distance-right:0.0pt;mso-wrap-distance-bottom:0.0pt;" stroked="f" strokeweight="0.75pt">
                <v:path textboxrect="0,0,0,0"/>
                <v:imagedata r:id="rId12" o:title=""/>
              </v:shape>
            </w:pict>
          </mc:Fallback>
        </mc:AlternateContent>
      </w:r>
      <w:r/>
    </w:p>
    <w:p>
      <w:pPr>
        <w:pStyle w:val="856"/>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pStyle w:val="856"/>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pStyle w:val="856"/>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pStyle w:val="856"/>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pStyle w:val="856"/>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pStyle w:val="856"/>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pStyle w:val="856"/>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pStyle w:val="856"/>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8.具备履行合同所必需的设备和专业技术能力的书面声明（附证明材料原件扫描件）</w:t>
      </w:r>
      <w:r/>
    </w:p>
    <w:p>
      <w:pP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项目名称：                        </w:t>
      </w:r>
      <w:r/>
    </w:p>
    <w:p>
      <w:pPr>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项目编号：JSZC-320300-ZCGL-G2025-0016                          </w:t>
      </w:r>
      <w:r/>
    </w:p>
    <w:p>
      <w:pP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供应商郑重声明：供应商具备履行合同（项目名称：                 ，项目编号：JSZC-320300-ZCGL-G2025-0016所必需的设备和专业技术能力， 具体为：</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设备：</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1、</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2、</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3、</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专业技术能力：</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1、</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2、</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3、</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 特此声明。</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供应商对上述声明的真实性负责。如有虚假，将依法承担相应责任。</w:t>
      </w:r>
      <w:r/>
    </w:p>
    <w:p>
      <w:pPr>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供应商：（公章）</w:t>
      </w:r>
      <w:r/>
    </w:p>
    <w:p>
      <w:pPr>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供应商授权代表：（签字或盖章）</w:t>
      </w:r>
      <w:r/>
    </w:p>
    <w:p>
      <w:pPr>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日期：  年  月  日</w:t>
      </w:r>
      <w:r/>
    </w:p>
    <w:p>
      <w:pPr>
        <w:spacing w:line="3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pStyle w:val="856"/>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pStyle w:val="856"/>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pStyle w:val="856"/>
        <w:ind w:left="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pStyle w:val="856"/>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pStyle w:val="856"/>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pStyle w:val="856"/>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jc w:val="center"/>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9.残疾人福利性单位声明函</w:t>
      </w:r>
      <w:r/>
    </w:p>
    <w:p>
      <w:pPr>
        <w:jc w:val="center"/>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（如投标人不属于残疾人福利性单位不需要提供此声明函）</w:t>
      </w:r>
      <w:r/>
    </w:p>
    <w:p>
      <w:pPr>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项目名称：  </w:t>
      </w:r>
      <w:r/>
    </w:p>
    <w:p>
      <w:pPr>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项目编号：JSZC-320300-ZCGL-G2025-0016 </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本单位对上述声明的真实性负责。如有虚假，将依法承担相应责任。</w:t>
      </w:r>
      <w:r/>
    </w:p>
    <w:p>
      <w:pPr>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投标人：                   （盖单位电子签章）</w:t>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投标人授权代表：           （签字或盖章）  </w:t>
      </w:r>
      <w:r/>
    </w:p>
    <w:p>
      <w:pPr>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日期：   年  月  日</w:t>
      </w:r>
      <w:r/>
    </w:p>
    <w:p>
      <w:pP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pStyle w:val="856"/>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pStyle w:val="856"/>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sectPr>
      <w:footerReference w:type="default" r:id="rId10"/>
      <w:footnotePr/>
      <w:endnotePr/>
      <w:type w:val="nextPage"/>
      <w:pgSz w:w="11906" w:h="16838" w:orient="portrait"/>
      <w:pgMar w:top="1134" w:right="1134" w:bottom="1134" w:left="1134"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Calibri">
    <w:panose1 w:val="020F05020202040302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8"/>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58"/>
                          </w:pPr>
                          <w:r>
                            <w:fldChar w:fldCharType="begin"/>
                          </w:r>
                          <w:r>
                            <w:instrText xml:space="preserve"> PAGE  \* MERGEFORMAT </w:instrText>
                          </w:r>
                          <w:r>
                            <w:fldChar w:fldCharType="separate"/>
                          </w:r>
                          <w:r>
                            <w:t xml:space="preserve">3</w:t>
                          </w:r>
                          <w:r>
                            <w:fldChar w:fldCharType="end"/>
                          </w:r>
                          <w:r/>
                        </w:p>
                      </w:txbxContent>
                    </wps:txbx>
                    <wps:bodyPr wrap="none" lIns="0" tIns="0" rIns="0" bIns="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8"/>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2">
    <w:name w:val="Heading 1"/>
    <w:basedOn w:val="853"/>
    <w:next w:val="853"/>
    <w:link w:val="683"/>
    <w:uiPriority w:val="9"/>
    <w:qFormat/>
    <w:pPr>
      <w:keepLines/>
      <w:keepNext/>
      <w:spacing w:before="480" w:after="200"/>
      <w:outlineLvl w:val="0"/>
    </w:pPr>
    <w:rPr>
      <w:rFonts w:ascii="Arial" w:hAnsi="Arial" w:eastAsia="Arial" w:cs="Arial"/>
      <w:sz w:val="40"/>
      <w:szCs w:val="40"/>
    </w:rPr>
  </w:style>
  <w:style w:type="character" w:styleId="683">
    <w:name w:val="Heading 1 Char"/>
    <w:basedOn w:val="854"/>
    <w:link w:val="682"/>
    <w:uiPriority w:val="9"/>
    <w:rPr>
      <w:rFonts w:ascii="Arial" w:hAnsi="Arial" w:eastAsia="Arial" w:cs="Arial"/>
      <w:sz w:val="40"/>
      <w:szCs w:val="40"/>
    </w:rPr>
  </w:style>
  <w:style w:type="paragraph" w:styleId="684">
    <w:name w:val="Heading 2"/>
    <w:basedOn w:val="853"/>
    <w:next w:val="853"/>
    <w:link w:val="685"/>
    <w:uiPriority w:val="9"/>
    <w:unhideWhenUsed/>
    <w:qFormat/>
    <w:pPr>
      <w:keepLines/>
      <w:keepNext/>
      <w:spacing w:before="360" w:after="200"/>
      <w:outlineLvl w:val="1"/>
    </w:pPr>
    <w:rPr>
      <w:rFonts w:ascii="Arial" w:hAnsi="Arial" w:eastAsia="Arial" w:cs="Arial"/>
      <w:sz w:val="34"/>
    </w:rPr>
  </w:style>
  <w:style w:type="character" w:styleId="685">
    <w:name w:val="Heading 2 Char"/>
    <w:basedOn w:val="854"/>
    <w:link w:val="684"/>
    <w:uiPriority w:val="9"/>
    <w:rPr>
      <w:rFonts w:ascii="Arial" w:hAnsi="Arial" w:eastAsia="Arial" w:cs="Arial"/>
      <w:sz w:val="34"/>
    </w:rPr>
  </w:style>
  <w:style w:type="paragraph" w:styleId="686">
    <w:name w:val="Heading 3"/>
    <w:basedOn w:val="853"/>
    <w:next w:val="853"/>
    <w:link w:val="687"/>
    <w:uiPriority w:val="9"/>
    <w:unhideWhenUsed/>
    <w:qFormat/>
    <w:pPr>
      <w:keepLines/>
      <w:keepNext/>
      <w:spacing w:before="320" w:after="200"/>
      <w:outlineLvl w:val="2"/>
    </w:pPr>
    <w:rPr>
      <w:rFonts w:ascii="Arial" w:hAnsi="Arial" w:eastAsia="Arial" w:cs="Arial"/>
      <w:sz w:val="30"/>
      <w:szCs w:val="30"/>
    </w:rPr>
  </w:style>
  <w:style w:type="character" w:styleId="687">
    <w:name w:val="Heading 3 Char"/>
    <w:basedOn w:val="854"/>
    <w:link w:val="686"/>
    <w:uiPriority w:val="9"/>
    <w:rPr>
      <w:rFonts w:ascii="Arial" w:hAnsi="Arial" w:eastAsia="Arial" w:cs="Arial"/>
      <w:sz w:val="30"/>
      <w:szCs w:val="30"/>
    </w:rPr>
  </w:style>
  <w:style w:type="paragraph" w:styleId="688">
    <w:name w:val="Heading 4"/>
    <w:basedOn w:val="853"/>
    <w:next w:val="853"/>
    <w:link w:val="689"/>
    <w:uiPriority w:val="9"/>
    <w:unhideWhenUsed/>
    <w:qFormat/>
    <w:pPr>
      <w:keepLines/>
      <w:keepNext/>
      <w:spacing w:before="320" w:after="200"/>
      <w:outlineLvl w:val="3"/>
    </w:pPr>
    <w:rPr>
      <w:rFonts w:ascii="Arial" w:hAnsi="Arial" w:eastAsia="Arial" w:cs="Arial"/>
      <w:b/>
      <w:bCs/>
      <w:sz w:val="26"/>
      <w:szCs w:val="26"/>
    </w:rPr>
  </w:style>
  <w:style w:type="character" w:styleId="689">
    <w:name w:val="Heading 4 Char"/>
    <w:basedOn w:val="854"/>
    <w:link w:val="688"/>
    <w:uiPriority w:val="9"/>
    <w:rPr>
      <w:rFonts w:ascii="Arial" w:hAnsi="Arial" w:eastAsia="Arial" w:cs="Arial"/>
      <w:b/>
      <w:bCs/>
      <w:sz w:val="26"/>
      <w:szCs w:val="26"/>
    </w:rPr>
  </w:style>
  <w:style w:type="paragraph" w:styleId="690">
    <w:name w:val="Heading 5"/>
    <w:basedOn w:val="853"/>
    <w:next w:val="853"/>
    <w:link w:val="691"/>
    <w:uiPriority w:val="9"/>
    <w:unhideWhenUsed/>
    <w:qFormat/>
    <w:pPr>
      <w:keepLines/>
      <w:keepNext/>
      <w:spacing w:before="320" w:after="200"/>
      <w:outlineLvl w:val="4"/>
    </w:pPr>
    <w:rPr>
      <w:rFonts w:ascii="Arial" w:hAnsi="Arial" w:eastAsia="Arial" w:cs="Arial"/>
      <w:b/>
      <w:bCs/>
      <w:sz w:val="24"/>
      <w:szCs w:val="24"/>
    </w:rPr>
  </w:style>
  <w:style w:type="character" w:styleId="691">
    <w:name w:val="Heading 5 Char"/>
    <w:basedOn w:val="854"/>
    <w:link w:val="690"/>
    <w:uiPriority w:val="9"/>
    <w:rPr>
      <w:rFonts w:ascii="Arial" w:hAnsi="Arial" w:eastAsia="Arial" w:cs="Arial"/>
      <w:b/>
      <w:bCs/>
      <w:sz w:val="24"/>
      <w:szCs w:val="24"/>
    </w:rPr>
  </w:style>
  <w:style w:type="paragraph" w:styleId="692">
    <w:name w:val="Heading 6"/>
    <w:basedOn w:val="853"/>
    <w:next w:val="853"/>
    <w:link w:val="693"/>
    <w:uiPriority w:val="9"/>
    <w:unhideWhenUsed/>
    <w:qFormat/>
    <w:pPr>
      <w:keepLines/>
      <w:keepNext/>
      <w:spacing w:before="320" w:after="200"/>
      <w:outlineLvl w:val="5"/>
    </w:pPr>
    <w:rPr>
      <w:rFonts w:ascii="Arial" w:hAnsi="Arial" w:eastAsia="Arial" w:cs="Arial"/>
      <w:b/>
      <w:bCs/>
      <w:sz w:val="22"/>
      <w:szCs w:val="22"/>
    </w:rPr>
  </w:style>
  <w:style w:type="character" w:styleId="693">
    <w:name w:val="Heading 6 Char"/>
    <w:basedOn w:val="854"/>
    <w:link w:val="692"/>
    <w:uiPriority w:val="9"/>
    <w:rPr>
      <w:rFonts w:ascii="Arial" w:hAnsi="Arial" w:eastAsia="Arial" w:cs="Arial"/>
      <w:b/>
      <w:bCs/>
      <w:sz w:val="22"/>
      <w:szCs w:val="22"/>
    </w:rPr>
  </w:style>
  <w:style w:type="paragraph" w:styleId="694">
    <w:name w:val="Heading 7"/>
    <w:basedOn w:val="853"/>
    <w:next w:val="853"/>
    <w:link w:val="695"/>
    <w:uiPriority w:val="9"/>
    <w:unhideWhenUsed/>
    <w:qFormat/>
    <w:pPr>
      <w:keepLines/>
      <w:keepNext/>
      <w:spacing w:before="320" w:after="200"/>
      <w:outlineLvl w:val="6"/>
    </w:pPr>
    <w:rPr>
      <w:rFonts w:ascii="Arial" w:hAnsi="Arial" w:eastAsia="Arial" w:cs="Arial"/>
      <w:b/>
      <w:bCs/>
      <w:i/>
      <w:iCs/>
      <w:sz w:val="22"/>
      <w:szCs w:val="22"/>
    </w:rPr>
  </w:style>
  <w:style w:type="character" w:styleId="695">
    <w:name w:val="Heading 7 Char"/>
    <w:basedOn w:val="854"/>
    <w:link w:val="694"/>
    <w:uiPriority w:val="9"/>
    <w:rPr>
      <w:rFonts w:ascii="Arial" w:hAnsi="Arial" w:eastAsia="Arial" w:cs="Arial"/>
      <w:b/>
      <w:bCs/>
      <w:i/>
      <w:iCs/>
      <w:sz w:val="22"/>
      <w:szCs w:val="22"/>
    </w:rPr>
  </w:style>
  <w:style w:type="paragraph" w:styleId="696">
    <w:name w:val="Heading 8"/>
    <w:basedOn w:val="853"/>
    <w:next w:val="853"/>
    <w:link w:val="697"/>
    <w:uiPriority w:val="9"/>
    <w:unhideWhenUsed/>
    <w:qFormat/>
    <w:pPr>
      <w:keepLines/>
      <w:keepNext/>
      <w:spacing w:before="320" w:after="200"/>
      <w:outlineLvl w:val="7"/>
    </w:pPr>
    <w:rPr>
      <w:rFonts w:ascii="Arial" w:hAnsi="Arial" w:eastAsia="Arial" w:cs="Arial"/>
      <w:i/>
      <w:iCs/>
      <w:sz w:val="22"/>
      <w:szCs w:val="22"/>
    </w:rPr>
  </w:style>
  <w:style w:type="character" w:styleId="697">
    <w:name w:val="Heading 8 Char"/>
    <w:basedOn w:val="854"/>
    <w:link w:val="696"/>
    <w:uiPriority w:val="9"/>
    <w:rPr>
      <w:rFonts w:ascii="Arial" w:hAnsi="Arial" w:eastAsia="Arial" w:cs="Arial"/>
      <w:i/>
      <w:iCs/>
      <w:sz w:val="22"/>
      <w:szCs w:val="22"/>
    </w:rPr>
  </w:style>
  <w:style w:type="paragraph" w:styleId="698">
    <w:name w:val="Heading 9"/>
    <w:basedOn w:val="853"/>
    <w:next w:val="853"/>
    <w:link w:val="699"/>
    <w:uiPriority w:val="9"/>
    <w:unhideWhenUsed/>
    <w:qFormat/>
    <w:pPr>
      <w:keepLines/>
      <w:keepNext/>
      <w:spacing w:before="320" w:after="200"/>
      <w:outlineLvl w:val="8"/>
    </w:pPr>
    <w:rPr>
      <w:rFonts w:ascii="Arial" w:hAnsi="Arial" w:eastAsia="Arial" w:cs="Arial"/>
      <w:i/>
      <w:iCs/>
      <w:sz w:val="21"/>
      <w:szCs w:val="21"/>
    </w:rPr>
  </w:style>
  <w:style w:type="character" w:styleId="699">
    <w:name w:val="Heading 9 Char"/>
    <w:basedOn w:val="854"/>
    <w:link w:val="698"/>
    <w:uiPriority w:val="9"/>
    <w:rPr>
      <w:rFonts w:ascii="Arial" w:hAnsi="Arial" w:eastAsia="Arial" w:cs="Arial"/>
      <w:i/>
      <w:iCs/>
      <w:sz w:val="21"/>
      <w:szCs w:val="21"/>
    </w:rPr>
  </w:style>
  <w:style w:type="paragraph" w:styleId="700">
    <w:name w:val="List Paragraph"/>
    <w:basedOn w:val="853"/>
    <w:uiPriority w:val="34"/>
    <w:qFormat/>
    <w:pPr>
      <w:contextualSpacing/>
      <w:ind w:left="720"/>
    </w:pPr>
  </w:style>
  <w:style w:type="paragraph" w:styleId="701">
    <w:name w:val="No Spacing"/>
    <w:uiPriority w:val="1"/>
    <w:qFormat/>
    <w:pPr>
      <w:spacing w:before="0" w:after="0" w:line="240" w:lineRule="auto"/>
    </w:pPr>
  </w:style>
  <w:style w:type="paragraph" w:styleId="702">
    <w:name w:val="Title"/>
    <w:basedOn w:val="853"/>
    <w:next w:val="853"/>
    <w:link w:val="703"/>
    <w:uiPriority w:val="10"/>
    <w:qFormat/>
    <w:pPr>
      <w:contextualSpacing/>
      <w:spacing w:before="300" w:after="200"/>
    </w:pPr>
    <w:rPr>
      <w:sz w:val="48"/>
      <w:szCs w:val="48"/>
    </w:rPr>
  </w:style>
  <w:style w:type="character" w:styleId="703">
    <w:name w:val="Title Char"/>
    <w:basedOn w:val="854"/>
    <w:link w:val="702"/>
    <w:uiPriority w:val="10"/>
    <w:rPr>
      <w:sz w:val="48"/>
      <w:szCs w:val="48"/>
    </w:rPr>
  </w:style>
  <w:style w:type="paragraph" w:styleId="704">
    <w:name w:val="Subtitle"/>
    <w:basedOn w:val="853"/>
    <w:next w:val="853"/>
    <w:link w:val="705"/>
    <w:uiPriority w:val="11"/>
    <w:qFormat/>
    <w:pPr>
      <w:spacing w:before="200" w:after="200"/>
    </w:pPr>
    <w:rPr>
      <w:sz w:val="24"/>
      <w:szCs w:val="24"/>
    </w:rPr>
  </w:style>
  <w:style w:type="character" w:styleId="705">
    <w:name w:val="Subtitle Char"/>
    <w:basedOn w:val="854"/>
    <w:link w:val="704"/>
    <w:uiPriority w:val="11"/>
    <w:rPr>
      <w:sz w:val="24"/>
      <w:szCs w:val="24"/>
    </w:rPr>
  </w:style>
  <w:style w:type="paragraph" w:styleId="706">
    <w:name w:val="Quote"/>
    <w:basedOn w:val="853"/>
    <w:next w:val="853"/>
    <w:link w:val="707"/>
    <w:uiPriority w:val="29"/>
    <w:qFormat/>
    <w:pPr>
      <w:ind w:left="720" w:right="720"/>
    </w:pPr>
    <w:rPr>
      <w:i/>
    </w:rPr>
  </w:style>
  <w:style w:type="character" w:styleId="707">
    <w:name w:val="Quote Char"/>
    <w:link w:val="706"/>
    <w:uiPriority w:val="29"/>
    <w:rPr>
      <w:i/>
    </w:rPr>
  </w:style>
  <w:style w:type="paragraph" w:styleId="708">
    <w:name w:val="Intense Quote"/>
    <w:basedOn w:val="853"/>
    <w:next w:val="853"/>
    <w:link w:val="70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9">
    <w:name w:val="Intense Quote Char"/>
    <w:link w:val="708"/>
    <w:uiPriority w:val="30"/>
    <w:rPr>
      <w:i/>
    </w:rPr>
  </w:style>
  <w:style w:type="character" w:styleId="710">
    <w:name w:val="Header Char"/>
    <w:basedOn w:val="854"/>
    <w:link w:val="859"/>
    <w:uiPriority w:val="99"/>
  </w:style>
  <w:style w:type="character" w:styleId="711">
    <w:name w:val="Footer Char"/>
    <w:basedOn w:val="854"/>
    <w:link w:val="858"/>
    <w:uiPriority w:val="99"/>
  </w:style>
  <w:style w:type="paragraph" w:styleId="712">
    <w:name w:val="Caption"/>
    <w:basedOn w:val="853"/>
    <w:next w:val="853"/>
    <w:uiPriority w:val="35"/>
    <w:semiHidden/>
    <w:unhideWhenUsed/>
    <w:qFormat/>
    <w:pPr>
      <w:spacing w:line="276" w:lineRule="auto"/>
    </w:pPr>
    <w:rPr>
      <w:b/>
      <w:bCs/>
      <w:color w:val="4f81bd" w:themeColor="accent1"/>
      <w:sz w:val="18"/>
      <w:szCs w:val="18"/>
    </w:rPr>
  </w:style>
  <w:style w:type="character" w:styleId="713">
    <w:name w:val="Caption Char"/>
    <w:basedOn w:val="712"/>
    <w:link w:val="858"/>
    <w:uiPriority w:val="99"/>
  </w:style>
  <w:style w:type="table" w:styleId="714">
    <w:name w:val="Table Grid Light"/>
    <w:basedOn w:val="85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5">
    <w:name w:val="Plain Table 1"/>
    <w:basedOn w:val="85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6">
    <w:name w:val="Plain Table 2"/>
    <w:basedOn w:val="85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7">
    <w:name w:val="Plain Table 3"/>
    <w:basedOn w:val="8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8">
    <w:name w:val="Plain Table 4"/>
    <w:basedOn w:val="8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9">
    <w:name w:val="Plain Table 5"/>
    <w:basedOn w:val="8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0">
    <w:name w:val="Grid Table 1 Light"/>
    <w:basedOn w:val="85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1">
    <w:name w:val="Grid Table 1 Light - Accent 1"/>
    <w:basedOn w:val="85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2">
    <w:name w:val="Grid Table 1 Light - Accent 2"/>
    <w:basedOn w:val="85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3">
    <w:name w:val="Grid Table 1 Light - Accent 3"/>
    <w:basedOn w:val="85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4">
    <w:name w:val="Grid Table 1 Light - Accent 4"/>
    <w:basedOn w:val="85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5">
    <w:name w:val="Grid Table 1 Light - Accent 5"/>
    <w:basedOn w:val="85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6">
    <w:name w:val="Grid Table 1 Light - Accent 6"/>
    <w:basedOn w:val="85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7">
    <w:name w:val="Grid Table 2"/>
    <w:basedOn w:val="8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8">
    <w:name w:val="Grid Table 2 - Accent 1"/>
    <w:basedOn w:val="85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9">
    <w:name w:val="Grid Table 2 - Accent 2"/>
    <w:basedOn w:val="85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0">
    <w:name w:val="Grid Table 2 - Accent 3"/>
    <w:basedOn w:val="85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1">
    <w:name w:val="Grid Table 2 - Accent 4"/>
    <w:basedOn w:val="85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2">
    <w:name w:val="Grid Table 2 - Accent 5"/>
    <w:basedOn w:val="85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3">
    <w:name w:val="Grid Table 2 - Accent 6"/>
    <w:basedOn w:val="85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4">
    <w:name w:val="Grid Table 3"/>
    <w:basedOn w:val="8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1"/>
    <w:basedOn w:val="85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2"/>
    <w:basedOn w:val="85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3 - Accent 3"/>
    <w:basedOn w:val="85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4"/>
    <w:basedOn w:val="85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5"/>
    <w:basedOn w:val="85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3 - Accent 6"/>
    <w:basedOn w:val="85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4"/>
    <w:basedOn w:val="85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2">
    <w:name w:val="Grid Table 4 - Accent 1"/>
    <w:basedOn w:val="85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3">
    <w:name w:val="Grid Table 4 - Accent 2"/>
    <w:basedOn w:val="85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4">
    <w:name w:val="Grid Table 4 - Accent 3"/>
    <w:basedOn w:val="85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5">
    <w:name w:val="Grid Table 4 - Accent 4"/>
    <w:basedOn w:val="85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6">
    <w:name w:val="Grid Table 4 - Accent 5"/>
    <w:basedOn w:val="85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7">
    <w:name w:val="Grid Table 4 - Accent 6"/>
    <w:basedOn w:val="85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8">
    <w:name w:val="Grid Table 5 Dark"/>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9">
    <w:name w:val="Grid Table 5 Dark- Accent 1"/>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50">
    <w:name w:val="Grid Table 5 Dark - Accent 2"/>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51">
    <w:name w:val="Grid Table 5 Dark - Accent 3"/>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52">
    <w:name w:val="Grid Table 5 Dark- Accent 4"/>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753">
    <w:name w:val="Grid Table 5 Dark - Accent 5"/>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754">
    <w:name w:val="Grid Table 5 Dark - Accent 6"/>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755">
    <w:name w:val="Grid Table 6 Colorful"/>
    <w:basedOn w:val="85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6">
    <w:name w:val="Grid Table 6 Colorful - Accent 1"/>
    <w:basedOn w:val="85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757">
    <w:name w:val="Grid Table 6 Colorful - Accent 2"/>
    <w:basedOn w:val="85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758">
    <w:name w:val="Grid Table 6 Colorful - Accent 3"/>
    <w:basedOn w:val="85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759">
    <w:name w:val="Grid Table 6 Colorful - Accent 4"/>
    <w:basedOn w:val="85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760">
    <w:name w:val="Grid Table 6 Colorful - Accent 5"/>
    <w:basedOn w:val="85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61">
    <w:name w:val="Grid Table 6 Colorful - Accent 6"/>
    <w:basedOn w:val="85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62">
    <w:name w:val="Grid Table 7 Colorful"/>
    <w:basedOn w:val="85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3">
    <w:name w:val="Grid Table 7 Colorful - Accent 1"/>
    <w:basedOn w:val="85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4">
    <w:name w:val="Grid Table 7 Colorful - Accent 2"/>
    <w:basedOn w:val="85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5">
    <w:name w:val="Grid Table 7 Colorful - Accent 3"/>
    <w:basedOn w:val="85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6">
    <w:name w:val="Grid Table 7 Colorful - Accent 4"/>
    <w:basedOn w:val="85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7">
    <w:name w:val="Grid Table 7 Colorful - Accent 5"/>
    <w:basedOn w:val="85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8">
    <w:name w:val="Grid Table 7 Colorful - Accent 6"/>
    <w:basedOn w:val="85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9">
    <w:name w:val="List Table 1 Light"/>
    <w:basedOn w:val="85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0">
    <w:name w:val="List Table 1 Light - Accent 1"/>
    <w:basedOn w:val="855"/>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1">
    <w:name w:val="List Table 1 Light - Accent 2"/>
    <w:basedOn w:val="855"/>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2">
    <w:name w:val="List Table 1 Light - Accent 3"/>
    <w:basedOn w:val="855"/>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3">
    <w:name w:val="List Table 1 Light - Accent 4"/>
    <w:basedOn w:val="855"/>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4">
    <w:name w:val="List Table 1 Light - Accent 5"/>
    <w:basedOn w:val="855"/>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5">
    <w:name w:val="List Table 1 Light - Accent 6"/>
    <w:basedOn w:val="855"/>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6">
    <w:name w:val="List Table 2"/>
    <w:basedOn w:val="85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7">
    <w:name w:val="List Table 2 - Accent 1"/>
    <w:basedOn w:val="85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8">
    <w:name w:val="List Table 2 - Accent 2"/>
    <w:basedOn w:val="85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9">
    <w:name w:val="List Table 2 - Accent 3"/>
    <w:basedOn w:val="85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0">
    <w:name w:val="List Table 2 - Accent 4"/>
    <w:basedOn w:val="85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1">
    <w:name w:val="List Table 2 - Accent 5"/>
    <w:basedOn w:val="85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2">
    <w:name w:val="List Table 2 - Accent 6"/>
    <w:basedOn w:val="85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3">
    <w:name w:val="List Table 3"/>
    <w:basedOn w:val="8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4">
    <w:name w:val="List Table 3 - Accent 1"/>
    <w:basedOn w:val="85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85">
    <w:name w:val="List Table 3 - Accent 2"/>
    <w:basedOn w:val="85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786">
    <w:name w:val="List Table 3 - Accent 3"/>
    <w:basedOn w:val="85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787">
    <w:name w:val="List Table 3 - Accent 4"/>
    <w:basedOn w:val="85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788">
    <w:name w:val="List Table 3 - Accent 5"/>
    <w:basedOn w:val="85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789">
    <w:name w:val="List Table 3 - Accent 6"/>
    <w:basedOn w:val="85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790">
    <w:name w:val="List Table 4"/>
    <w:basedOn w:val="8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1">
    <w:name w:val="List Table 4 - Accent 1"/>
    <w:basedOn w:val="85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92">
    <w:name w:val="List Table 4 - Accent 2"/>
    <w:basedOn w:val="85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793">
    <w:name w:val="List Table 4 - Accent 3"/>
    <w:basedOn w:val="85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794">
    <w:name w:val="List Table 4 - Accent 4"/>
    <w:basedOn w:val="85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795">
    <w:name w:val="List Table 4 - Accent 5"/>
    <w:basedOn w:val="85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796">
    <w:name w:val="List Table 4 - Accent 6"/>
    <w:basedOn w:val="85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797">
    <w:name w:val="List Table 5 Dark"/>
    <w:basedOn w:val="85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1"/>
    <w:basedOn w:val="85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2"/>
    <w:basedOn w:val="85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5 Dark - Accent 3"/>
    <w:basedOn w:val="85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4"/>
    <w:basedOn w:val="85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5"/>
    <w:basedOn w:val="85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5 Dark - Accent 6"/>
    <w:basedOn w:val="85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6 Colorful"/>
    <w:basedOn w:val="85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5">
    <w:name w:val="List Table 6 Colorful - Accent 1"/>
    <w:basedOn w:val="85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06">
    <w:name w:val="List Table 6 Colorful - Accent 2"/>
    <w:basedOn w:val="85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07">
    <w:name w:val="List Table 6 Colorful - Accent 3"/>
    <w:basedOn w:val="85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08">
    <w:name w:val="List Table 6 Colorful - Accent 4"/>
    <w:basedOn w:val="85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09">
    <w:name w:val="List Table 6 Colorful - Accent 5"/>
    <w:basedOn w:val="85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10">
    <w:name w:val="List Table 6 Colorful - Accent 6"/>
    <w:basedOn w:val="85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11">
    <w:name w:val="List Table 7 Colorful"/>
    <w:basedOn w:val="85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2">
    <w:name w:val="List Table 7 Colorful - Accent 1"/>
    <w:basedOn w:val="85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13">
    <w:name w:val="List Table 7 Colorful - Accent 2"/>
    <w:basedOn w:val="85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14">
    <w:name w:val="List Table 7 Colorful - Accent 3"/>
    <w:basedOn w:val="85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15">
    <w:name w:val="List Table 7 Colorful - Accent 4"/>
    <w:basedOn w:val="85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16">
    <w:name w:val="List Table 7 Colorful - Accent 5"/>
    <w:basedOn w:val="85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17">
    <w:name w:val="List Table 7 Colorful - Accent 6"/>
    <w:basedOn w:val="85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18">
    <w:name w:val="Lined - Accent"/>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9">
    <w:name w:val="Lined - Accent 1"/>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20">
    <w:name w:val="Lined - Accent 2"/>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21">
    <w:name w:val="Lined - Accent 3"/>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22">
    <w:name w:val="Lined - Accent 4"/>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23">
    <w:name w:val="Lined - Accent 5"/>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24">
    <w:name w:val="Lined - Accent 6"/>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25">
    <w:name w:val="Bordered &amp; Lined - Accent"/>
    <w:basedOn w:val="85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6">
    <w:name w:val="Bordered &amp; Lined - Accent 1"/>
    <w:basedOn w:val="85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27">
    <w:name w:val="Bordered &amp; Lined - Accent 2"/>
    <w:basedOn w:val="85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28">
    <w:name w:val="Bordered &amp; Lined - Accent 3"/>
    <w:basedOn w:val="85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29">
    <w:name w:val="Bordered &amp; Lined - Accent 4"/>
    <w:basedOn w:val="85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30">
    <w:name w:val="Bordered &amp; Lined - Accent 5"/>
    <w:basedOn w:val="85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31">
    <w:name w:val="Bordered &amp; Lined - Accent 6"/>
    <w:basedOn w:val="85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32">
    <w:name w:val="Bordered"/>
    <w:basedOn w:val="85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3">
    <w:name w:val="Bordered - Accent 1"/>
    <w:basedOn w:val="85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4">
    <w:name w:val="Bordered - Accent 2"/>
    <w:basedOn w:val="85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5">
    <w:name w:val="Bordered - Accent 3"/>
    <w:basedOn w:val="85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6">
    <w:name w:val="Bordered - Accent 4"/>
    <w:basedOn w:val="85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7">
    <w:name w:val="Bordered - Accent 5"/>
    <w:basedOn w:val="85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8">
    <w:name w:val="Bordered - Accent 6"/>
    <w:basedOn w:val="85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39">
    <w:name w:val="Footnote Text Char"/>
    <w:link w:val="861"/>
    <w:uiPriority w:val="99"/>
    <w:rPr>
      <w:sz w:val="18"/>
    </w:rPr>
  </w:style>
  <w:style w:type="paragraph" w:styleId="840">
    <w:name w:val="endnote text"/>
    <w:basedOn w:val="853"/>
    <w:link w:val="841"/>
    <w:uiPriority w:val="99"/>
    <w:semiHidden/>
    <w:unhideWhenUsed/>
    <w:pPr>
      <w:spacing w:after="0" w:line="240" w:lineRule="auto"/>
    </w:pPr>
    <w:rPr>
      <w:sz w:val="20"/>
    </w:rPr>
  </w:style>
  <w:style w:type="character" w:styleId="841">
    <w:name w:val="Endnote Text Char"/>
    <w:link w:val="840"/>
    <w:uiPriority w:val="99"/>
    <w:rPr>
      <w:sz w:val="20"/>
    </w:rPr>
  </w:style>
  <w:style w:type="character" w:styleId="842">
    <w:name w:val="endnote reference"/>
    <w:basedOn w:val="854"/>
    <w:uiPriority w:val="99"/>
    <w:semiHidden/>
    <w:unhideWhenUsed/>
    <w:rPr>
      <w:vertAlign w:val="superscript"/>
    </w:rPr>
  </w:style>
  <w:style w:type="paragraph" w:styleId="843">
    <w:name w:val="toc 2"/>
    <w:basedOn w:val="853"/>
    <w:next w:val="853"/>
    <w:uiPriority w:val="39"/>
    <w:unhideWhenUsed/>
    <w:pPr>
      <w:ind w:left="283" w:right="0" w:firstLine="0"/>
      <w:spacing w:after="57"/>
    </w:pPr>
  </w:style>
  <w:style w:type="paragraph" w:styleId="844">
    <w:name w:val="toc 3"/>
    <w:basedOn w:val="853"/>
    <w:next w:val="853"/>
    <w:uiPriority w:val="39"/>
    <w:unhideWhenUsed/>
    <w:pPr>
      <w:ind w:left="567" w:right="0" w:firstLine="0"/>
      <w:spacing w:after="57"/>
    </w:pPr>
  </w:style>
  <w:style w:type="paragraph" w:styleId="845">
    <w:name w:val="toc 4"/>
    <w:basedOn w:val="853"/>
    <w:next w:val="853"/>
    <w:uiPriority w:val="39"/>
    <w:unhideWhenUsed/>
    <w:pPr>
      <w:ind w:left="850" w:right="0" w:firstLine="0"/>
      <w:spacing w:after="57"/>
    </w:pPr>
  </w:style>
  <w:style w:type="paragraph" w:styleId="846">
    <w:name w:val="toc 5"/>
    <w:basedOn w:val="853"/>
    <w:next w:val="853"/>
    <w:uiPriority w:val="39"/>
    <w:unhideWhenUsed/>
    <w:pPr>
      <w:ind w:left="1134" w:right="0" w:firstLine="0"/>
      <w:spacing w:after="57"/>
    </w:pPr>
  </w:style>
  <w:style w:type="paragraph" w:styleId="847">
    <w:name w:val="toc 6"/>
    <w:basedOn w:val="853"/>
    <w:next w:val="853"/>
    <w:uiPriority w:val="39"/>
    <w:unhideWhenUsed/>
    <w:pPr>
      <w:ind w:left="1417" w:right="0" w:firstLine="0"/>
      <w:spacing w:after="57"/>
    </w:pPr>
  </w:style>
  <w:style w:type="paragraph" w:styleId="848">
    <w:name w:val="toc 7"/>
    <w:basedOn w:val="853"/>
    <w:next w:val="853"/>
    <w:uiPriority w:val="39"/>
    <w:unhideWhenUsed/>
    <w:pPr>
      <w:ind w:left="1701" w:right="0" w:firstLine="0"/>
      <w:spacing w:after="57"/>
    </w:pPr>
  </w:style>
  <w:style w:type="paragraph" w:styleId="849">
    <w:name w:val="toc 8"/>
    <w:basedOn w:val="853"/>
    <w:next w:val="853"/>
    <w:uiPriority w:val="39"/>
    <w:unhideWhenUsed/>
    <w:pPr>
      <w:ind w:left="1984" w:right="0" w:firstLine="0"/>
      <w:spacing w:after="57"/>
    </w:pPr>
  </w:style>
  <w:style w:type="paragraph" w:styleId="850">
    <w:name w:val="toc 9"/>
    <w:basedOn w:val="853"/>
    <w:next w:val="853"/>
    <w:uiPriority w:val="39"/>
    <w:unhideWhenUsed/>
    <w:pPr>
      <w:ind w:left="2268" w:right="0" w:firstLine="0"/>
      <w:spacing w:after="57"/>
    </w:pPr>
  </w:style>
  <w:style w:type="paragraph" w:styleId="851">
    <w:name w:val="TOC Heading"/>
    <w:uiPriority w:val="39"/>
    <w:unhideWhenUsed/>
  </w:style>
  <w:style w:type="paragraph" w:styleId="852">
    <w:name w:val="table of figures"/>
    <w:basedOn w:val="853"/>
    <w:next w:val="853"/>
    <w:uiPriority w:val="99"/>
    <w:unhideWhenUsed/>
    <w:pPr>
      <w:spacing w:after="0" w:afterAutospacing="0"/>
    </w:pPr>
  </w:style>
  <w:style w:type="paragraph" w:styleId="853" w:default="1">
    <w:name w:val="Normal"/>
    <w:next w:val="856"/>
    <w:uiPriority w:val="0"/>
    <w:qFormat/>
    <w:pPr>
      <w:jc w:val="both"/>
      <w:widowControl w:val="off"/>
    </w:pPr>
    <w:rPr>
      <w:rFonts w:ascii="Calibri" w:hAnsi="Calibri" w:eastAsia="宋体" w:cs="Times New Roman"/>
      <w:sz w:val="21"/>
      <w:szCs w:val="24"/>
      <w:lang w:val="en-US" w:eastAsia="zh-CN" w:bidi="ar-SA"/>
    </w:rPr>
  </w:style>
  <w:style w:type="character" w:styleId="854" w:default="1">
    <w:name w:val="Default Paragraph Font"/>
    <w:uiPriority w:val="1"/>
    <w:semiHidden/>
    <w:unhideWhenUsed/>
    <w:qFormat/>
  </w:style>
  <w:style w:type="table" w:styleId="855" w:default="1">
    <w:name w:val="Normal Table"/>
    <w:uiPriority w:val="99"/>
    <w:semiHidden/>
    <w:unhideWhenUsed/>
    <w:qFormat/>
    <w:tblPr>
      <w:tblCellMar>
        <w:left w:w="108" w:type="dxa"/>
        <w:top w:w="0" w:type="dxa"/>
        <w:right w:w="108" w:type="dxa"/>
        <w:bottom w:w="0" w:type="dxa"/>
      </w:tblCellMar>
    </w:tblPr>
  </w:style>
  <w:style w:type="paragraph" w:styleId="856">
    <w:name w:val="Block Text"/>
    <w:basedOn w:val="853"/>
    <w:next w:val="853"/>
    <w:uiPriority w:val="99"/>
    <w:unhideWhenUsed/>
    <w:qFormat/>
    <w:pPr>
      <w:ind w:left="1440" w:right="1440"/>
      <w:spacing w:after="120"/>
    </w:pPr>
  </w:style>
  <w:style w:type="paragraph" w:styleId="857">
    <w:name w:val="annotation text"/>
    <w:basedOn w:val="853"/>
    <w:uiPriority w:val="0"/>
    <w:qFormat/>
    <w:pPr>
      <w:jc w:val="left"/>
    </w:pPr>
  </w:style>
  <w:style w:type="paragraph" w:styleId="858">
    <w:name w:val="Footer"/>
    <w:basedOn w:val="853"/>
    <w:uiPriority w:val="0"/>
    <w:qFormat/>
    <w:pPr>
      <w:jc w:val="left"/>
      <w:tabs>
        <w:tab w:val="center" w:pos="4153" w:leader="none"/>
        <w:tab w:val="right" w:pos="8306" w:leader="none"/>
      </w:tabs>
    </w:pPr>
    <w:rPr>
      <w:sz w:val="18"/>
    </w:rPr>
  </w:style>
  <w:style w:type="paragraph" w:styleId="859">
    <w:name w:val="Header"/>
    <w:basedOn w:val="853"/>
    <w:uiPriority w:val="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860">
    <w:name w:val="toc 1"/>
    <w:basedOn w:val="853"/>
    <w:next w:val="853"/>
    <w:uiPriority w:val="0"/>
    <w:qFormat/>
  </w:style>
  <w:style w:type="paragraph" w:styleId="861">
    <w:name w:val="footnote text"/>
    <w:basedOn w:val="853"/>
    <w:uiPriority w:val="0"/>
    <w:qFormat/>
    <w:pPr>
      <w:jc w:val="left"/>
    </w:pPr>
    <w:rPr>
      <w:sz w:val="18"/>
    </w:rPr>
  </w:style>
  <w:style w:type="table" w:styleId="862">
    <w:name w:val="Table Grid"/>
    <w:basedOn w:val="85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63">
    <w:name w:val="Hyperlink"/>
    <w:basedOn w:val="854"/>
    <w:uiPriority w:val="0"/>
    <w:qFormat/>
    <w:rPr>
      <w:color w:val="0000ff"/>
      <w:u w:val="single"/>
    </w:rPr>
  </w:style>
  <w:style w:type="character" w:styleId="864">
    <w:name w:val="footnote reference"/>
    <w:basedOn w:val="854"/>
    <w:uiPriority w:val="0"/>
    <w:qFormat/>
    <w:rPr>
      <w:vertAlign w:val="superscript"/>
    </w:rPr>
  </w:style>
  <w:style w:type="paragraph" w:styleId="865" w:customStyle="1">
    <w:name w:val="修订1"/>
    <w:hidden/>
    <w:uiPriority w:val="99"/>
    <w:unhideWhenUsed/>
    <w:qFormat/>
    <w:rPr>
      <w:rFonts w:ascii="Calibri" w:hAnsi="Calibri" w:eastAsia="宋体" w:cs="Times New Roman"/>
      <w:sz w:val="21"/>
      <w:szCs w:val="24"/>
      <w:lang w:val="en-US" w:eastAsia="zh-CN" w:bidi="ar-SA"/>
    </w:rPr>
  </w:style>
  <w:style w:type="paragraph" w:styleId="866" w:customStyle="1">
    <w:name w:val="Revision"/>
    <w:hidden/>
    <w:uiPriority w:val="99"/>
    <w:unhideWhenUsed/>
    <w:qFormat/>
    <w:rPr>
      <w:rFonts w:ascii="Calibri" w:hAnsi="Calibri" w:eastAsia="宋体" w:cs="Times New Roman"/>
      <w:sz w:val="21"/>
      <w:szCs w:val="24"/>
      <w:lang w:val="en-US" w:eastAsia="zh-CN" w:bidi="ar-SA"/>
    </w:rPr>
  </w:style>
  <w:style w:type="numbering" w:styleId="86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卢林兵</cp:lastModifiedBy>
  <cp:revision>16</cp:revision>
  <dcterms:created xsi:type="dcterms:W3CDTF">2025-09-30T05:08:00Z</dcterms:created>
  <dcterms:modified xsi:type="dcterms:W3CDTF">2025-10-10T07:19:42Z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7E704AD5A786438D80B37D9DFD9F289C_13</vt:lpwstr>
  </property>
  <property fmtid="{D5CDD505-2E9C-101B-9397-08002B2CF9AE}" pid="4" name="KSOTemplateDocerSaveRecord">
    <vt:lpwstr>eyJoZGlkIjoiNGY4MTgxOWY0MjE2OGU4M2ZkMWJlZDYwZWVhNDUzNTQiLCJ1c2VySWQiOiIxMTIxNTcwODEwIn0=</vt:lpwstr>
  </property>
</Properties>
</file>